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pPr w:leftFromText="180" w:rightFromText="180" w:horzAnchor="margin" w:tblpXSpec="center" w:tblpY="390"/>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4116"/>
        <w:gridCol w:w="2551"/>
      </w:tblGrid>
      <w:tr w:rsidTr="00E444CB">
        <w:tblPrEx>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3397" w:type="dxa"/>
            <w:shd w:val="clear" w:color="auto" w:fill="BFBFBF"/>
            <w:vAlign w:val="center"/>
          </w:tcPr>
          <w:p w:rsidR="00E444CB" w:rsidRPr="00D4431F" w:rsidP="00E444CB">
            <w:pPr>
              <w:spacing w:line="240" w:lineRule="auto"/>
              <w:jc w:val="center"/>
              <w:rPr>
                <w:rFonts w:cstheme="minorHAnsi"/>
                <w:b/>
                <w:bCs/>
              </w:rPr>
            </w:pPr>
            <w:r>
              <w:rPr>
                <w:rFonts w:cstheme="minorHAnsi"/>
                <w:b/>
                <w:bCs/>
              </w:rPr>
              <w:t>Report of</w:t>
            </w:r>
          </w:p>
        </w:tc>
        <w:tc>
          <w:tcPr>
            <w:tcW w:w="4116" w:type="dxa"/>
            <w:shd w:val="clear" w:color="auto" w:fill="BFBFBF"/>
          </w:tcPr>
          <w:p w:rsidR="00E444CB" w:rsidP="00E444CB">
            <w:pPr>
              <w:spacing w:line="240" w:lineRule="auto"/>
              <w:jc w:val="center"/>
              <w:rPr>
                <w:rFonts w:cstheme="minorHAnsi"/>
                <w:b/>
                <w:bCs/>
              </w:rPr>
            </w:pPr>
            <w:r>
              <w:rPr>
                <w:rFonts w:cstheme="minorHAnsi"/>
                <w:b/>
                <w:bCs/>
              </w:rPr>
              <w:t>Meeting</w:t>
            </w:r>
          </w:p>
        </w:tc>
        <w:tc>
          <w:tcPr>
            <w:tcW w:w="2551" w:type="dxa"/>
            <w:shd w:val="clear" w:color="auto" w:fill="BFBFBF"/>
            <w:vAlign w:val="center"/>
          </w:tcPr>
          <w:p w:rsidR="00E444CB" w:rsidRPr="00D4431F" w:rsidP="00E444CB">
            <w:pPr>
              <w:spacing w:line="240" w:lineRule="auto"/>
              <w:jc w:val="center"/>
              <w:rPr>
                <w:rFonts w:cstheme="minorHAnsi"/>
                <w:b/>
                <w:bCs/>
              </w:rPr>
            </w:pPr>
            <w:r>
              <w:rPr>
                <w:rFonts w:cstheme="minorHAnsi"/>
                <w:b/>
                <w:bCs/>
              </w:rPr>
              <w:t>Date</w:t>
            </w:r>
          </w:p>
        </w:tc>
      </w:tr>
      <w:tr w:rsidTr="00E444CB">
        <w:tblPrEx>
          <w:tblW w:w="10064" w:type="dxa"/>
          <w:tblLayout w:type="fixed"/>
          <w:tblLook w:val="0000"/>
        </w:tblPrEx>
        <w:trPr>
          <w:cantSplit/>
          <w:trHeight w:val="804"/>
        </w:trPr>
        <w:tc>
          <w:tcPr>
            <w:tcW w:w="3397" w:type="dxa"/>
            <w:tcBorders>
              <w:top w:val="single" w:sz="4" w:space="0" w:color="auto"/>
              <w:left w:val="single" w:sz="4" w:space="0" w:color="auto"/>
              <w:bottom w:val="single" w:sz="4" w:space="0" w:color="auto"/>
              <w:right w:val="single" w:sz="4" w:space="0" w:color="auto"/>
            </w:tcBorders>
            <w:vAlign w:val="center"/>
          </w:tcPr>
          <w:p w:rsidR="008060FD" w:rsidP="00E444CB">
            <w:pPr>
              <w:spacing w:after="0"/>
              <w:jc w:val="center"/>
            </w:pPr>
            <w:r>
              <w:t xml:space="preserve">Deputy Chief Executive </w:t>
            </w:r>
          </w:p>
          <w:p w:rsidR="008060FD" w:rsidP="00E444CB">
            <w:pPr>
              <w:spacing w:after="0"/>
              <w:jc w:val="center"/>
            </w:pPr>
          </w:p>
          <w:p w:rsidR="00E444CB" w:rsidP="00E444CB">
            <w:pPr>
              <w:spacing w:after="0"/>
              <w:jc w:val="center"/>
            </w:pPr>
            <w:r>
              <w:t xml:space="preserve">(Introduced by the </w:t>
            </w:r>
            <w:r w:rsidR="00FA1A44">
              <w:fldChar w:fldCharType="begin"/>
            </w:r>
            <w:r w:rsidR="00FA1A44">
              <w:instrText xml:space="preserve"> DOCPROPERTY  LeadMember  \* MERGEFORMAT </w:instrText>
            </w:r>
            <w:r w:rsidR="00FA1A44">
              <w:fldChar w:fldCharType="separate"/>
            </w:r>
            <w:r w:rsidR="00FA1A44">
              <w:t>Leader of the Council and Cabinet Member (Strategy and Reform)</w:t>
            </w:r>
            <w:r w:rsidR="00FA1A44">
              <w:fldChar w:fldCharType="end"/>
            </w:r>
            <w:r>
              <w:t>)</w:t>
            </w:r>
          </w:p>
          <w:p w:rsidR="00E444CB" w:rsidRPr="00ED4FF1" w:rsidP="00E444CB">
            <w:pPr>
              <w:spacing w:after="0"/>
              <w:jc w:val="center"/>
            </w:pPr>
          </w:p>
        </w:tc>
        <w:tc>
          <w:tcPr>
            <w:tcW w:w="4116" w:type="dxa"/>
            <w:tcBorders>
              <w:top w:val="single" w:sz="4" w:space="0" w:color="auto"/>
              <w:left w:val="single" w:sz="4" w:space="0" w:color="auto"/>
              <w:bottom w:val="single" w:sz="4" w:space="0" w:color="auto"/>
              <w:right w:val="single" w:sz="4" w:space="0" w:color="auto"/>
            </w:tcBorders>
            <w:vAlign w:val="center"/>
          </w:tcPr>
          <w:p w:rsidR="00E444CB" w:rsidP="00E444CB">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Scrutiny Budget and Performance Panel</w:t>
            </w:r>
            <w:r>
              <w:rPr>
                <w:rFonts w:cstheme="minorHAnsi"/>
              </w:rPr>
              <w:fldChar w:fldCharType="end"/>
            </w:r>
          </w:p>
          <w:p w:rsidR="00A75948" w:rsidRPr="00ED4FF1" w:rsidP="00E444CB">
            <w:pPr>
              <w:spacing w:line="240" w:lineRule="auto"/>
              <w:jc w:val="center"/>
              <w:rPr>
                <w:rFonts w:cstheme="minorHAnsi"/>
              </w:rPr>
            </w:pPr>
            <w:r>
              <w:rPr>
                <w:rFonts w:cstheme="minorHAnsi"/>
              </w:rPr>
              <w:t>Cabinet</w:t>
            </w:r>
          </w:p>
        </w:tc>
        <w:tc>
          <w:tcPr>
            <w:tcW w:w="2551" w:type="dxa"/>
            <w:tcBorders>
              <w:top w:val="single" w:sz="4" w:space="0" w:color="auto"/>
              <w:left w:val="single" w:sz="4" w:space="0" w:color="auto"/>
              <w:bottom w:val="single" w:sz="4" w:space="0" w:color="auto"/>
              <w:right w:val="single" w:sz="4" w:space="0" w:color="auto"/>
            </w:tcBorders>
            <w:vAlign w:val="center"/>
          </w:tcPr>
          <w:p w:rsidR="00E444CB" w:rsidP="00E444CB">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Monday, 21 March 2022</w:t>
            </w:r>
            <w:r>
              <w:rPr>
                <w:rFonts w:cstheme="minorHAnsi"/>
              </w:rPr>
              <w:fldChar w:fldCharType="end"/>
            </w:r>
          </w:p>
          <w:p w:rsidR="00E444CB" w:rsidRPr="00ED4FF1" w:rsidP="00E444CB">
            <w:pPr>
              <w:spacing w:line="240" w:lineRule="auto"/>
              <w:jc w:val="center"/>
              <w:rPr>
                <w:rFonts w:cstheme="minorHAnsi"/>
              </w:rPr>
            </w:pPr>
            <w:r>
              <w:rPr>
                <w:rFonts w:cstheme="minorHAnsi"/>
              </w:rPr>
              <w:t>Wednesday 23 March 2022</w:t>
            </w:r>
          </w:p>
        </w:tc>
      </w:tr>
    </w:tbl>
    <w:p w:rsidR="00E444CB" w:rsidP="00E444CB">
      <w:pPr>
        <w:spacing w:after="0"/>
      </w:pPr>
      <w:bookmarkStart w:id="0" w:name="_Hlk75350991"/>
      <w:bookmarkEnd w:id="0"/>
      <w:r>
        <w:rPr>
          <w:rFonts w:cstheme="minorHAnsi"/>
          <w:b/>
          <w:bCs/>
          <w:noProof/>
        </w:rPr>
        <w:drawing>
          <wp:anchor distT="0" distB="0" distL="114300" distR="114300" simplePos="0" relativeHeight="251658240" behindDoc="0" locked="0" layoutInCell="1" allowOverlap="1">
            <wp:simplePos x="0" y="0"/>
            <wp:positionH relativeFrom="column">
              <wp:posOffset>-316865</wp:posOffset>
            </wp:positionH>
            <wp:positionV relativeFrom="page">
              <wp:posOffset>80274</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989823" name="logo.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6116" cy="1026160"/>
                    </a:xfrm>
                    <a:prstGeom prst="rect">
                      <a:avLst/>
                    </a:prstGeom>
                  </pic:spPr>
                </pic:pic>
              </a:graphicData>
            </a:graphic>
            <wp14:sizeRelH relativeFrom="margin">
              <wp14:pctWidth>0</wp14:pctWidth>
            </wp14:sizeRelH>
            <wp14:sizeRelV relativeFrom="margin">
              <wp14:pctHeight>0</wp14:pctHeight>
            </wp14:sizeRelV>
          </wp:anchor>
        </w:drawing>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0"/>
        <w:gridCol w:w="4685"/>
      </w:tblGrid>
      <w:tr w:rsidTr="00E444CB">
        <w:tblPrEx>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8"/>
          <w:jc w:val="center"/>
        </w:trPr>
        <w:tc>
          <w:tcPr>
            <w:tcW w:w="5380" w:type="dxa"/>
            <w:shd w:val="clear" w:color="auto" w:fill="auto"/>
            <w:vAlign w:val="center"/>
          </w:tcPr>
          <w:p w:rsidR="00E444CB" w:rsidRPr="00D1305C" w:rsidP="00E444CB">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5" w:type="dxa"/>
            <w:shd w:val="clear" w:color="auto" w:fill="auto"/>
            <w:vAlign w:val="center"/>
          </w:tcPr>
          <w:p w:rsidR="00E444CB" w:rsidRPr="00284E95" w:rsidP="00E444CB">
            <w:pPr>
              <w:spacing w:after="0"/>
              <w:rPr>
                <w:rFonts w:eastAsia="Times New Roman" w:cstheme="minorHAnsi"/>
                <w:bCs/>
                <w:iCs/>
                <w:color w:val="000000" w:themeColor="text1"/>
                <w:kern w:val="36"/>
                <w:lang w:eastAsia="en-GB"/>
              </w:rPr>
            </w:pPr>
            <w:r w:rsidRPr="00D1305C">
              <w:rPr>
                <w:rFonts w:eastAsia="Times New Roman" w:cstheme="minorHAnsi"/>
                <w:bCs/>
                <w:color w:val="000000" w:themeColor="text1"/>
                <w:kern w:val="36"/>
                <w:lang w:eastAsia="en-GB"/>
              </w:rPr>
              <w:t xml:space="preserve">No </w:t>
            </w:r>
          </w:p>
        </w:tc>
      </w:tr>
      <w:tr w:rsidTr="00E444CB">
        <w:tblPrEx>
          <w:tblW w:w="10065" w:type="dxa"/>
          <w:jc w:val="center"/>
          <w:tblLook w:val="04A0"/>
        </w:tblPrEx>
        <w:trPr>
          <w:trHeight w:val="398"/>
          <w:jc w:val="center"/>
        </w:trPr>
        <w:tc>
          <w:tcPr>
            <w:tcW w:w="5380" w:type="dxa"/>
            <w:shd w:val="clear" w:color="auto" w:fill="auto"/>
            <w:vAlign w:val="center"/>
          </w:tcPr>
          <w:p w:rsidR="00E444CB" w:rsidRPr="00D1305C" w:rsidP="00E444CB">
            <w:pPr>
              <w:spacing w:after="0"/>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5" w:type="dxa"/>
            <w:shd w:val="clear" w:color="auto" w:fill="auto"/>
            <w:vAlign w:val="center"/>
          </w:tcPr>
          <w:p w:rsidR="00E444CB" w:rsidRPr="00284E95" w:rsidP="00E444CB">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rsidR="00E444CB" w:rsidP="00E444CB">
      <w:pPr>
        <w:pStyle w:val="Heading1"/>
        <w:spacing w:before="0" w:beforeAutospacing="0" w:after="0" w:afterAutospacing="0"/>
        <w:contextualSpacing/>
        <w:rPr>
          <w:rFonts w:asciiTheme="majorHAnsi" w:hAnsiTheme="majorHAnsi" w:cstheme="majorHAnsi"/>
          <w:sz w:val="28"/>
          <w:szCs w:val="28"/>
        </w:rPr>
      </w:pPr>
    </w:p>
    <w:p w:rsidR="00E444CB" w:rsidRPr="00F87D59" w:rsidP="00E444CB">
      <w:pPr>
        <w:pStyle w:val="Heading1"/>
        <w:spacing w:before="0" w:before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F87D59">
        <w:rPr>
          <w:rFonts w:asciiTheme="majorHAnsi" w:hAnsiTheme="majorHAnsi" w:cstheme="majorHAnsi"/>
          <w:sz w:val="28"/>
          <w:szCs w:val="28"/>
        </w:rPr>
        <w:t>Corporate Strategy Quarterly Monitoring Report - Quarter 3 2021/22</w:t>
      </w:r>
      <w:r w:rsidRPr="00883AC9">
        <w:rPr>
          <w:rFonts w:asciiTheme="majorHAnsi" w:hAnsiTheme="majorHAnsi" w:cstheme="majorHAnsi"/>
          <w:sz w:val="28"/>
          <w:szCs w:val="28"/>
        </w:rPr>
        <w:fldChar w:fldCharType="end"/>
      </w:r>
    </w:p>
    <w:p w:rsidR="00E444CB" w:rsidRPr="00ED4FF1" w:rsidP="00E444CB">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rsidR="00E444CB" w:rsidRPr="00F87D59" w:rsidP="00E444CB">
      <w:pPr>
        <w:pStyle w:val="ListParagraph"/>
        <w:numPr>
          <w:ilvl w:val="0"/>
          <w:numId w:val="8"/>
        </w:numPr>
        <w:rPr>
          <w:rFonts w:cstheme="minorHAnsi"/>
          <w:bCs/>
          <w:iCs/>
        </w:rPr>
      </w:pPr>
      <w:r w:rsidRPr="00F87D59">
        <w:rPr>
          <w:rFonts w:cstheme="minorHAnsi"/>
          <w:bCs/>
          <w:iCs/>
        </w:rPr>
        <w:t xml:space="preserve">To provide Cabinet with a position statement for the Corporate Strategy for quarter </w:t>
      </w:r>
      <w:r>
        <w:rPr>
          <w:rFonts w:cstheme="minorHAnsi"/>
          <w:bCs/>
          <w:iCs/>
        </w:rPr>
        <w:t>three</w:t>
      </w:r>
      <w:r w:rsidRPr="00F87D59">
        <w:rPr>
          <w:rFonts w:cstheme="minorHAnsi"/>
          <w:bCs/>
          <w:iCs/>
        </w:rPr>
        <w:t xml:space="preserve"> (</w:t>
      </w:r>
      <w:r>
        <w:rPr>
          <w:rFonts w:cstheme="minorHAnsi"/>
          <w:bCs/>
          <w:iCs/>
        </w:rPr>
        <w:t>Oct</w:t>
      </w:r>
      <w:r w:rsidRPr="00F87D59">
        <w:rPr>
          <w:rFonts w:cstheme="minorHAnsi"/>
          <w:bCs/>
          <w:iCs/>
        </w:rPr>
        <w:t xml:space="preserve"> – </w:t>
      </w:r>
      <w:r>
        <w:rPr>
          <w:rFonts w:cstheme="minorHAnsi"/>
          <w:bCs/>
          <w:iCs/>
        </w:rPr>
        <w:t>Dec</w:t>
      </w:r>
      <w:r w:rsidRPr="00F87D59">
        <w:rPr>
          <w:rFonts w:cstheme="minorHAnsi"/>
          <w:bCs/>
          <w:iCs/>
        </w:rPr>
        <w:t>) 2021/22.</w:t>
      </w:r>
    </w:p>
    <w:p w:rsidR="00E444CB" w:rsidRPr="00ED4FF1" w:rsidP="00E444CB">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w:t>
      </w:r>
      <w:r w:rsidR="00D76A4B">
        <w:rPr>
          <w:rFonts w:asciiTheme="majorHAnsi" w:hAnsiTheme="majorHAnsi" w:cstheme="majorHAnsi"/>
          <w:sz w:val="22"/>
        </w:rPr>
        <w:t xml:space="preserve">the Scrutiny and Performance Panel </w:t>
      </w:r>
    </w:p>
    <w:p w:rsidR="00E444CB" w:rsidP="00E444CB">
      <w:pPr>
        <w:pStyle w:val="ListParagraph"/>
        <w:numPr>
          <w:ilvl w:val="0"/>
          <w:numId w:val="8"/>
        </w:numPr>
        <w:spacing w:after="0" w:line="240" w:lineRule="auto"/>
        <w:jc w:val="both"/>
        <w:rPr>
          <w:rFonts w:cstheme="minorHAnsi"/>
          <w:bCs/>
          <w:iCs/>
        </w:rPr>
      </w:pPr>
      <w:r w:rsidRPr="00F87D59">
        <w:rPr>
          <w:rFonts w:cstheme="minorHAnsi"/>
          <w:bCs/>
          <w:iCs/>
        </w:rPr>
        <w:t>The Scrutiny Budget and Performance Panel are asked to consider the report and make comments and recommendations to the Cabinet</w:t>
      </w:r>
      <w:r w:rsidR="00D76A4B">
        <w:rPr>
          <w:rFonts w:cstheme="minorHAnsi"/>
          <w:bCs/>
          <w:iCs/>
        </w:rPr>
        <w:t>.</w:t>
      </w:r>
    </w:p>
    <w:p w:rsidR="00FA1A44" w:rsidRPr="00FA1A44" w:rsidP="00FA1A44">
      <w:pPr>
        <w:spacing w:after="0" w:line="240" w:lineRule="auto"/>
        <w:jc w:val="both"/>
        <w:rPr>
          <w:rFonts w:cstheme="minorHAnsi"/>
          <w:bCs/>
          <w:iCs/>
        </w:rPr>
      </w:pPr>
      <w:bookmarkStart w:id="1" w:name="_GoBack"/>
      <w:bookmarkEnd w:id="1"/>
    </w:p>
    <w:p w:rsidR="00D76A4B" w:rsidRPr="00FA1A44" w:rsidP="00FA1A44">
      <w:pPr>
        <w:spacing w:after="0" w:line="240" w:lineRule="auto"/>
        <w:jc w:val="both"/>
        <w:rPr>
          <w:rFonts w:cstheme="minorHAnsi"/>
          <w:b/>
          <w:iCs/>
        </w:rPr>
      </w:pPr>
      <w:r w:rsidRPr="00FA1A44">
        <w:rPr>
          <w:rFonts w:cstheme="minorHAnsi"/>
          <w:b/>
          <w:iCs/>
        </w:rPr>
        <w:t>Recommendations to Cabinet</w:t>
      </w:r>
    </w:p>
    <w:p w:rsidR="00E444CB" w:rsidRPr="00F87D59" w:rsidP="00E444CB">
      <w:pPr>
        <w:pStyle w:val="ListParagraph"/>
        <w:spacing w:after="0" w:line="240" w:lineRule="auto"/>
        <w:ind w:left="360"/>
        <w:jc w:val="both"/>
        <w:rPr>
          <w:rFonts w:cstheme="minorHAnsi"/>
          <w:bCs/>
          <w:iCs/>
        </w:rPr>
      </w:pPr>
    </w:p>
    <w:p w:rsidR="00E444CB" w:rsidRPr="001A3941" w:rsidP="00E444CB">
      <w:pPr>
        <w:pStyle w:val="ListParagraph"/>
        <w:numPr>
          <w:ilvl w:val="0"/>
          <w:numId w:val="8"/>
        </w:numPr>
        <w:spacing w:after="0" w:line="240" w:lineRule="auto"/>
        <w:rPr>
          <w:rFonts w:ascii="Arial" w:eastAsia="Calibri" w:hAnsi="Arial" w:cs="Times New Roman"/>
        </w:rPr>
      </w:pPr>
      <w:r w:rsidRPr="001A3941">
        <w:rPr>
          <w:rFonts w:ascii="Arial" w:eastAsia="Calibri" w:hAnsi="Arial" w:cs="Times New Roman"/>
        </w:rPr>
        <w:t xml:space="preserve">Cabinet is asked to </w:t>
      </w:r>
      <w:r>
        <w:rPr>
          <w:rFonts w:ascii="Arial" w:eastAsia="Calibri" w:hAnsi="Arial" w:cs="Times New Roman"/>
        </w:rPr>
        <w:t>note</w:t>
      </w:r>
      <w:r w:rsidRPr="001A3941">
        <w:rPr>
          <w:rFonts w:ascii="Arial" w:eastAsia="Calibri" w:hAnsi="Arial" w:cs="Times New Roman"/>
        </w:rPr>
        <w:t xml:space="preserve"> the report.</w:t>
      </w:r>
    </w:p>
    <w:p w:rsidR="00E444CB" w:rsidRPr="00F87D59" w:rsidP="00E444CB">
      <w:pPr>
        <w:pStyle w:val="ListParagraph"/>
        <w:spacing w:after="0" w:line="240" w:lineRule="auto"/>
        <w:ind w:left="360"/>
        <w:jc w:val="both"/>
        <w:rPr>
          <w:rFonts w:cstheme="minorHAnsi"/>
          <w:bCs/>
        </w:rPr>
      </w:pPr>
    </w:p>
    <w:p w:rsidR="00E444CB" w:rsidRPr="00ED4FF1" w:rsidP="00E444CB">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rsidR="00E444CB" w:rsidRPr="00F87D59" w:rsidP="00E444CB">
      <w:pPr>
        <w:pStyle w:val="ListParagraph"/>
        <w:numPr>
          <w:ilvl w:val="0"/>
          <w:numId w:val="8"/>
        </w:numPr>
        <w:rPr>
          <w:rFonts w:cstheme="minorHAnsi"/>
          <w:bCs/>
          <w:iCs/>
        </w:rPr>
      </w:pPr>
      <w:r w:rsidRPr="00F87D59">
        <w:rPr>
          <w:rFonts w:cstheme="minorHAnsi"/>
          <w:bCs/>
          <w:iCs/>
        </w:rPr>
        <w:t xml:space="preserve">The Council’s performance framework sets out the process for </w:t>
      </w:r>
      <w:r w:rsidRPr="00F87D59">
        <w:rPr>
          <w:rFonts w:cstheme="minorHAnsi"/>
          <w:bCs/>
          <w:iCs/>
        </w:rPr>
        <w:t xml:space="preserve">reporting progress against the objectives of the Corporate Strategy. Robust monitoring ensures that the </w:t>
      </w:r>
      <w:r>
        <w:rPr>
          <w:rFonts w:cstheme="minorHAnsi"/>
          <w:bCs/>
          <w:iCs/>
        </w:rPr>
        <w:t>C</w:t>
      </w:r>
      <w:r w:rsidRPr="00F87D59">
        <w:rPr>
          <w:rFonts w:cstheme="minorHAnsi"/>
          <w:bCs/>
          <w:iCs/>
        </w:rPr>
        <w:t>ouncil continues to deliver its priorities and achieves the best outcomes for residents.</w:t>
      </w:r>
    </w:p>
    <w:p w:rsidR="00E444CB" w:rsidRPr="00ED4FF1" w:rsidP="00E444CB">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rsidR="00E444CB" w:rsidRPr="00E54FF6" w:rsidP="00E444CB">
      <w:pPr>
        <w:pStyle w:val="ListParagraph"/>
        <w:numPr>
          <w:ilvl w:val="0"/>
          <w:numId w:val="8"/>
        </w:numPr>
        <w:rPr>
          <w:rFonts w:cstheme="minorHAnsi"/>
          <w:bCs/>
          <w:iCs/>
        </w:rPr>
      </w:pPr>
      <w:r>
        <w:rPr>
          <w:rFonts w:cstheme="minorHAnsi"/>
          <w:bCs/>
          <w:iCs/>
        </w:rPr>
        <w:t>N/A</w:t>
      </w:r>
    </w:p>
    <w:p w:rsidR="00E444CB" w:rsidRPr="00ED4FF1" w:rsidP="00E444CB">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Corporate </w:t>
      </w:r>
      <w:r w:rsidRPr="00ED4FF1">
        <w:rPr>
          <w:rFonts w:asciiTheme="majorHAnsi" w:hAnsiTheme="majorHAnsi" w:cstheme="majorHAnsi"/>
          <w:sz w:val="22"/>
          <w:szCs w:val="22"/>
        </w:rPr>
        <w:t>priorities</w:t>
      </w:r>
    </w:p>
    <w:p w:rsidR="00E444CB" w:rsidRPr="00460D79" w:rsidP="00E444CB">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rsidR="00E444CB" w:rsidP="00E444CB">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4678"/>
      </w:tblGrid>
      <w:tr w:rsidTr="00E444CB">
        <w:tblPrEx>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06"/>
        </w:trPr>
        <w:tc>
          <w:tcPr>
            <w:tcW w:w="4848" w:type="dxa"/>
            <w:shd w:val="clear" w:color="auto" w:fill="auto"/>
            <w:vAlign w:val="center"/>
          </w:tcPr>
          <w:p w:rsidR="00E444CB" w:rsidRPr="00F87D59" w:rsidP="00E444CB">
            <w:pPr>
              <w:spacing w:after="0" w:line="240" w:lineRule="auto"/>
              <w:rPr>
                <w:rFonts w:cstheme="minorHAnsi"/>
                <w:b/>
              </w:rPr>
            </w:pPr>
            <w:r w:rsidRPr="00F87D59">
              <w:rPr>
                <w:rFonts w:cstheme="minorHAnsi"/>
                <w:b/>
              </w:rPr>
              <w:t>An exemplary council</w:t>
            </w:r>
          </w:p>
        </w:tc>
        <w:tc>
          <w:tcPr>
            <w:tcW w:w="4678" w:type="dxa"/>
            <w:vAlign w:val="center"/>
          </w:tcPr>
          <w:p w:rsidR="00E444CB" w:rsidRPr="00F87D59" w:rsidP="00E444CB">
            <w:pPr>
              <w:spacing w:after="0" w:line="240" w:lineRule="auto"/>
              <w:rPr>
                <w:rFonts w:cstheme="minorHAnsi"/>
                <w:b/>
              </w:rPr>
            </w:pPr>
            <w:r w:rsidRPr="00F87D59">
              <w:rPr>
                <w:rFonts w:cstheme="minorHAnsi"/>
                <w:b/>
              </w:rPr>
              <w:t>Thriving communities</w:t>
            </w:r>
          </w:p>
        </w:tc>
      </w:tr>
      <w:tr w:rsidTr="00E444CB">
        <w:tblPrEx>
          <w:tblW w:w="9526" w:type="dxa"/>
          <w:tblInd w:w="-5" w:type="dxa"/>
          <w:tblLook w:val="04A0"/>
        </w:tblPrEx>
        <w:trPr>
          <w:trHeight w:val="706"/>
        </w:trPr>
        <w:tc>
          <w:tcPr>
            <w:tcW w:w="4848" w:type="dxa"/>
            <w:shd w:val="clear" w:color="auto" w:fill="auto"/>
            <w:vAlign w:val="center"/>
          </w:tcPr>
          <w:p w:rsidR="00E444CB" w:rsidRPr="00F87D59" w:rsidP="00E444CB">
            <w:pPr>
              <w:spacing w:after="0" w:line="240" w:lineRule="auto"/>
              <w:rPr>
                <w:rFonts w:cstheme="minorHAnsi"/>
                <w:b/>
              </w:rPr>
            </w:pPr>
            <w:r w:rsidRPr="00F87D59">
              <w:rPr>
                <w:rFonts w:cstheme="minorHAnsi"/>
                <w:b/>
              </w:rPr>
              <w:t>A fair local economy that works for everyone</w:t>
            </w:r>
          </w:p>
        </w:tc>
        <w:tc>
          <w:tcPr>
            <w:tcW w:w="4678" w:type="dxa"/>
            <w:vAlign w:val="center"/>
          </w:tcPr>
          <w:p w:rsidR="00E444CB" w:rsidRPr="00F87D59" w:rsidP="00E444CB">
            <w:pPr>
              <w:spacing w:after="0" w:line="240" w:lineRule="auto"/>
              <w:rPr>
                <w:rFonts w:cstheme="minorHAnsi"/>
                <w:b/>
              </w:rPr>
            </w:pPr>
            <w:r w:rsidRPr="00F87D59">
              <w:rPr>
                <w:rFonts w:cstheme="minorHAnsi"/>
                <w:b/>
              </w:rPr>
              <w:t>Good homes, green spaces, healthy places</w:t>
            </w:r>
          </w:p>
        </w:tc>
      </w:tr>
    </w:tbl>
    <w:p w:rsidR="00E444CB" w:rsidP="00E444CB">
      <w:pPr>
        <w:pStyle w:val="Heading2"/>
        <w:spacing w:before="0" w:beforeAutospacing="0" w:after="0" w:afterAutospacing="0"/>
        <w:rPr>
          <w:rFonts w:asciiTheme="majorHAnsi" w:hAnsiTheme="majorHAnsi" w:cstheme="majorHAnsi"/>
          <w:sz w:val="22"/>
        </w:rPr>
      </w:pPr>
    </w:p>
    <w:p w:rsidR="00E444CB" w:rsidP="00E444CB">
      <w:pPr>
        <w:pStyle w:val="Heading2"/>
        <w:spacing w:before="0" w:beforeAutospacing="0" w:after="0" w:afterAutospacing="0"/>
        <w:rPr>
          <w:rFonts w:asciiTheme="majorHAnsi" w:hAnsiTheme="majorHAnsi" w:cstheme="majorHAnsi"/>
          <w:sz w:val="22"/>
        </w:rPr>
      </w:pPr>
      <w:r w:rsidRPr="00CA04F3">
        <w:rPr>
          <w:rFonts w:asciiTheme="majorHAnsi" w:hAnsiTheme="majorHAnsi" w:cstheme="majorHAnsi"/>
          <w:sz w:val="22"/>
        </w:rPr>
        <w:t>Executive summary</w:t>
      </w:r>
    </w:p>
    <w:p w:rsidR="00E444CB" w:rsidP="00E444CB">
      <w:pPr>
        <w:pStyle w:val="Heading2"/>
        <w:spacing w:before="0" w:beforeAutospacing="0" w:after="0" w:afterAutospacing="0"/>
        <w:rPr>
          <w:rFonts w:asciiTheme="majorHAnsi" w:hAnsiTheme="majorHAnsi" w:cstheme="majorHAnsi"/>
          <w:sz w:val="22"/>
        </w:rPr>
      </w:pPr>
    </w:p>
    <w:p w:rsidR="00E444CB" w:rsidP="00E444CB">
      <w:pPr>
        <w:pStyle w:val="ListParagraph"/>
        <w:numPr>
          <w:ilvl w:val="0"/>
          <w:numId w:val="8"/>
        </w:numPr>
        <w:rPr>
          <w:rFonts w:cstheme="minorHAnsi"/>
          <w:bCs/>
          <w:iCs/>
        </w:rPr>
      </w:pPr>
      <w:r w:rsidRPr="00F87D59">
        <w:rPr>
          <w:rFonts w:cstheme="minorHAnsi"/>
          <w:bCs/>
          <w:iCs/>
        </w:rPr>
        <w:t xml:space="preserve">This report presents the performance of the Corporate Strategy at the end of quarter </w:t>
      </w:r>
      <w:r>
        <w:rPr>
          <w:rFonts w:cstheme="minorHAnsi"/>
          <w:bCs/>
          <w:iCs/>
        </w:rPr>
        <w:t>three</w:t>
      </w:r>
      <w:r w:rsidRPr="00F87D59">
        <w:rPr>
          <w:rFonts w:cstheme="minorHAnsi"/>
          <w:bCs/>
          <w:iCs/>
        </w:rPr>
        <w:t xml:space="preserve"> (</w:t>
      </w:r>
      <w:r>
        <w:rPr>
          <w:rFonts w:cstheme="minorHAnsi"/>
          <w:bCs/>
          <w:iCs/>
        </w:rPr>
        <w:t>1 October</w:t>
      </w:r>
      <w:r w:rsidRPr="00F87D59">
        <w:rPr>
          <w:rFonts w:cstheme="minorHAnsi"/>
          <w:bCs/>
          <w:iCs/>
        </w:rPr>
        <w:t xml:space="preserve"> – </w:t>
      </w:r>
      <w:r>
        <w:rPr>
          <w:rFonts w:cstheme="minorHAnsi"/>
          <w:bCs/>
          <w:iCs/>
        </w:rPr>
        <w:t>31 December 2021</w:t>
      </w:r>
      <w:r w:rsidRPr="00F87D59">
        <w:rPr>
          <w:rFonts w:cstheme="minorHAnsi"/>
          <w:bCs/>
          <w:iCs/>
        </w:rPr>
        <w:t xml:space="preserve">). This report provides an update on the current </w:t>
      </w:r>
      <w:r w:rsidRPr="00F87D59">
        <w:rPr>
          <w:rFonts w:cstheme="minorHAnsi"/>
          <w:bCs/>
          <w:iCs/>
        </w:rPr>
        <w:t>position for the 14 projects, 24 Corporate Strategy performance measures and 13 key org</w:t>
      </w:r>
      <w:r w:rsidRPr="00F87D59">
        <w:rPr>
          <w:rFonts w:cstheme="minorHAnsi"/>
          <w:bCs/>
          <w:iCs/>
        </w:rPr>
        <w:t xml:space="preserve">anisational performance measures.  </w:t>
      </w:r>
    </w:p>
    <w:p w:rsidR="00E444CB" w:rsidP="00E444CB">
      <w:pPr>
        <w:pStyle w:val="ListParagraph"/>
        <w:ind w:left="360"/>
        <w:rPr>
          <w:rFonts w:cstheme="minorHAnsi"/>
          <w:bCs/>
          <w:iCs/>
        </w:rPr>
      </w:pPr>
    </w:p>
    <w:p w:rsidR="00E444CB" w:rsidP="00E444CB">
      <w:pPr>
        <w:pStyle w:val="ListParagraph"/>
        <w:numPr>
          <w:ilvl w:val="0"/>
          <w:numId w:val="8"/>
        </w:numPr>
        <w:rPr>
          <w:rFonts w:cstheme="minorHAnsi"/>
          <w:bCs/>
          <w:iCs/>
        </w:rPr>
      </w:pPr>
      <w:r w:rsidRPr="00F87D59">
        <w:rPr>
          <w:rFonts w:cstheme="minorHAnsi"/>
          <w:bCs/>
          <w:iCs/>
        </w:rPr>
        <w:t xml:space="preserve">Of the 14 projects in the strategy: </w:t>
      </w:r>
      <w:r>
        <w:rPr>
          <w:rFonts w:cstheme="minorHAnsi"/>
          <w:bCs/>
          <w:iCs/>
        </w:rPr>
        <w:t>14% (2)</w:t>
      </w:r>
      <w:r w:rsidRPr="009232BE">
        <w:rPr>
          <w:rFonts w:cstheme="minorHAnsi"/>
          <w:bCs/>
          <w:iCs/>
        </w:rPr>
        <w:t xml:space="preserve"> </w:t>
      </w:r>
      <w:r>
        <w:rPr>
          <w:rFonts w:cstheme="minorHAnsi"/>
          <w:bCs/>
          <w:iCs/>
        </w:rPr>
        <w:t>are complete, 79% (11)</w:t>
      </w:r>
      <w:r w:rsidRPr="00992A8A">
        <w:rPr>
          <w:rFonts w:cstheme="minorHAnsi"/>
          <w:bCs/>
          <w:iCs/>
          <w:color w:val="FF0000"/>
        </w:rPr>
        <w:t xml:space="preserve"> </w:t>
      </w:r>
      <w:r w:rsidRPr="00F87D59">
        <w:rPr>
          <w:rFonts w:cstheme="minorHAnsi"/>
          <w:bCs/>
          <w:iCs/>
        </w:rPr>
        <w:t xml:space="preserve">are rated green and on-track; </w:t>
      </w:r>
      <w:r>
        <w:rPr>
          <w:rFonts w:cstheme="minorHAnsi"/>
          <w:bCs/>
          <w:iCs/>
        </w:rPr>
        <w:t>7% (1)</w:t>
      </w:r>
      <w:r w:rsidRPr="009F1664">
        <w:rPr>
          <w:rFonts w:cstheme="minorHAnsi"/>
          <w:bCs/>
          <w:iCs/>
        </w:rPr>
        <w:t xml:space="preserve"> </w:t>
      </w:r>
      <w:r w:rsidRPr="00F87D59">
        <w:rPr>
          <w:rFonts w:cstheme="minorHAnsi"/>
          <w:bCs/>
          <w:iCs/>
        </w:rPr>
        <w:t>is rated amber.</w:t>
      </w:r>
    </w:p>
    <w:p w:rsidR="00E444CB" w:rsidRPr="00F87D59" w:rsidP="00E444CB">
      <w:pPr>
        <w:pStyle w:val="ListParagraph"/>
        <w:rPr>
          <w:rFonts w:cstheme="minorHAnsi"/>
          <w:bCs/>
          <w:iCs/>
        </w:rPr>
      </w:pPr>
    </w:p>
    <w:p w:rsidR="00E444CB" w:rsidP="00E444CB">
      <w:pPr>
        <w:pStyle w:val="ListParagraph"/>
        <w:numPr>
          <w:ilvl w:val="0"/>
          <w:numId w:val="8"/>
        </w:numPr>
        <w:spacing w:after="0" w:line="240" w:lineRule="auto"/>
        <w:rPr>
          <w:rFonts w:ascii="Arial" w:eastAsia="Calibri" w:hAnsi="Arial" w:cs="Times New Roman"/>
        </w:rPr>
      </w:pPr>
      <w:r w:rsidRPr="001A3941">
        <w:rPr>
          <w:rFonts w:ascii="Arial" w:eastAsia="Calibri" w:hAnsi="Arial" w:cs="Times New Roman"/>
        </w:rPr>
        <w:t xml:space="preserve">Of the 24 performance indicators used to monitor the Corporate Strategy, </w:t>
      </w:r>
      <w:r w:rsidRPr="00493E90">
        <w:rPr>
          <w:rFonts w:ascii="Arial" w:eastAsia="Calibri" w:hAnsi="Arial" w:cs="Times New Roman"/>
        </w:rPr>
        <w:t xml:space="preserve">eight </w:t>
      </w:r>
      <w:r w:rsidRPr="001A3941">
        <w:rPr>
          <w:rFonts w:ascii="Arial" w:eastAsia="Calibri" w:hAnsi="Arial" w:cs="Times New Roman"/>
        </w:rPr>
        <w:t xml:space="preserve">can be reported at the end of </w:t>
      </w:r>
      <w:r>
        <w:rPr>
          <w:rFonts w:ascii="Arial" w:eastAsia="Calibri" w:hAnsi="Arial" w:cs="Times New Roman"/>
        </w:rPr>
        <w:t xml:space="preserve">the </w:t>
      </w:r>
      <w:r w:rsidRPr="001A3941">
        <w:rPr>
          <w:rFonts w:ascii="Arial" w:eastAsia="Calibri" w:hAnsi="Arial" w:cs="Times New Roman"/>
        </w:rPr>
        <w:t>quarter</w:t>
      </w:r>
      <w:r>
        <w:rPr>
          <w:rFonts w:ascii="Arial" w:eastAsia="Calibri" w:hAnsi="Arial" w:cs="Times New Roman"/>
        </w:rPr>
        <w:t>. Three</w:t>
      </w:r>
      <w:r w:rsidRPr="00493E90">
        <w:rPr>
          <w:rFonts w:ascii="Arial" w:eastAsia="Calibri" w:hAnsi="Arial" w:cs="Times New Roman"/>
        </w:rPr>
        <w:t xml:space="preserve"> </w:t>
      </w:r>
      <w:r w:rsidRPr="00DF567E">
        <w:rPr>
          <w:rFonts w:ascii="Arial" w:eastAsia="Calibri" w:hAnsi="Arial" w:cs="Times New Roman"/>
        </w:rPr>
        <w:t xml:space="preserve">are </w:t>
      </w:r>
      <w:r w:rsidRPr="00493E90">
        <w:rPr>
          <w:rFonts w:ascii="Arial" w:eastAsia="Calibri" w:hAnsi="Arial" w:cs="Times New Roman"/>
        </w:rPr>
        <w:t>performing better than target</w:t>
      </w:r>
      <w:r w:rsidRPr="001A3941">
        <w:rPr>
          <w:rFonts w:ascii="Arial" w:eastAsia="Calibri" w:hAnsi="Arial" w:cs="Times New Roman"/>
        </w:rPr>
        <w:t>,</w:t>
      </w:r>
      <w:r w:rsidRPr="00275A78">
        <w:rPr>
          <w:rFonts w:ascii="Arial" w:eastAsia="Calibri" w:hAnsi="Arial" w:cs="Times New Roman"/>
        </w:rPr>
        <w:t xml:space="preserve"> </w:t>
      </w:r>
      <w:r>
        <w:rPr>
          <w:rFonts w:ascii="Arial" w:eastAsia="Calibri" w:hAnsi="Arial" w:cs="Times New Roman"/>
        </w:rPr>
        <w:t>one</w:t>
      </w:r>
      <w:r w:rsidRPr="00645F04">
        <w:rPr>
          <w:rFonts w:ascii="Arial" w:eastAsia="Calibri" w:hAnsi="Arial" w:cs="Times New Roman"/>
        </w:rPr>
        <w:t xml:space="preserve"> </w:t>
      </w:r>
      <w:r>
        <w:rPr>
          <w:rFonts w:ascii="Arial" w:eastAsia="Calibri" w:hAnsi="Arial" w:cs="Times New Roman"/>
        </w:rPr>
        <w:t>is</w:t>
      </w:r>
      <w:r w:rsidRPr="00645F04">
        <w:rPr>
          <w:rFonts w:ascii="Arial" w:eastAsia="Calibri" w:hAnsi="Arial" w:cs="Times New Roman"/>
        </w:rPr>
        <w:t xml:space="preserve"> </w:t>
      </w:r>
      <w:r w:rsidRPr="00493E90">
        <w:rPr>
          <w:rFonts w:ascii="Arial" w:eastAsia="Calibri" w:hAnsi="Arial" w:cs="Times New Roman"/>
        </w:rPr>
        <w:t>performing worse that target but within a 5% tolerance of the target</w:t>
      </w:r>
      <w:r>
        <w:rPr>
          <w:rFonts w:ascii="Arial" w:eastAsia="Calibri" w:hAnsi="Arial" w:cs="Times New Roman"/>
        </w:rPr>
        <w:t>,</w:t>
      </w:r>
      <w:r w:rsidRPr="00645F04">
        <w:rPr>
          <w:rFonts w:ascii="Arial" w:eastAsia="Calibri" w:hAnsi="Arial" w:cs="Times New Roman"/>
        </w:rPr>
        <w:t xml:space="preserve"> </w:t>
      </w:r>
      <w:r>
        <w:rPr>
          <w:rFonts w:ascii="Arial" w:eastAsia="Calibri" w:hAnsi="Arial" w:cs="Times New Roman"/>
        </w:rPr>
        <w:t>two are</w:t>
      </w:r>
      <w:r w:rsidRPr="00645F04">
        <w:rPr>
          <w:rFonts w:ascii="Arial" w:eastAsia="Calibri" w:hAnsi="Arial" w:cs="Times New Roman"/>
        </w:rPr>
        <w:t xml:space="preserve"> </w:t>
      </w:r>
      <w:r w:rsidRPr="00493E90">
        <w:rPr>
          <w:rFonts w:ascii="Arial" w:eastAsia="Calibri" w:hAnsi="Arial" w:cs="Times New Roman"/>
        </w:rPr>
        <w:t xml:space="preserve">worse </w:t>
      </w:r>
      <w:r w:rsidRPr="001A3941">
        <w:rPr>
          <w:rFonts w:ascii="Arial" w:eastAsia="Calibri" w:hAnsi="Arial" w:cs="Times New Roman"/>
        </w:rPr>
        <w:t>th</w:t>
      </w:r>
      <w:r w:rsidRPr="001A3941">
        <w:rPr>
          <w:rFonts w:ascii="Arial" w:eastAsia="Calibri" w:hAnsi="Arial" w:cs="Times New Roman"/>
        </w:rPr>
        <w:t>an target</w:t>
      </w:r>
      <w:r>
        <w:rPr>
          <w:rFonts w:ascii="Arial" w:eastAsia="Calibri" w:hAnsi="Arial" w:cs="Times New Roman"/>
        </w:rPr>
        <w:t xml:space="preserve"> and outside the 5% tolerance of the target, </w:t>
      </w:r>
      <w:r w:rsidRPr="001A3941">
        <w:rPr>
          <w:rFonts w:ascii="Arial" w:eastAsia="Calibri" w:hAnsi="Arial" w:cs="Times New Roman"/>
        </w:rPr>
        <w:t xml:space="preserve">and </w:t>
      </w:r>
      <w:r w:rsidRPr="00493E90">
        <w:rPr>
          <w:rFonts w:ascii="Arial" w:eastAsia="Calibri" w:hAnsi="Arial" w:cs="Times New Roman"/>
        </w:rPr>
        <w:t xml:space="preserve">two </w:t>
      </w:r>
      <w:r>
        <w:rPr>
          <w:rFonts w:ascii="Arial" w:eastAsia="Calibri" w:hAnsi="Arial" w:cs="Times New Roman"/>
        </w:rPr>
        <w:t xml:space="preserve">are being </w:t>
      </w:r>
      <w:r w:rsidRPr="001A3941">
        <w:rPr>
          <w:rFonts w:ascii="Arial" w:eastAsia="Calibri" w:hAnsi="Arial" w:cs="Times New Roman"/>
        </w:rPr>
        <w:t>baselin</w:t>
      </w:r>
      <w:r>
        <w:rPr>
          <w:rFonts w:ascii="Arial" w:eastAsia="Calibri" w:hAnsi="Arial" w:cs="Times New Roman"/>
        </w:rPr>
        <w:t>ed</w:t>
      </w:r>
      <w:r w:rsidRPr="001A3941">
        <w:rPr>
          <w:rFonts w:ascii="Arial" w:eastAsia="Calibri" w:hAnsi="Arial" w:cs="Times New Roman"/>
        </w:rPr>
        <w:t>.</w:t>
      </w:r>
    </w:p>
    <w:p w:rsidR="00E444CB" w:rsidRPr="001A3941" w:rsidP="00E444CB">
      <w:pPr>
        <w:pStyle w:val="ListParagraph"/>
        <w:spacing w:after="0" w:line="240" w:lineRule="auto"/>
        <w:ind w:left="360"/>
        <w:rPr>
          <w:rFonts w:ascii="Arial" w:eastAsia="Calibri" w:hAnsi="Arial" w:cs="Times New Roman"/>
        </w:rPr>
      </w:pPr>
    </w:p>
    <w:p w:rsidR="00E444CB" w:rsidP="00E444CB">
      <w:pPr>
        <w:pStyle w:val="ListParagraph"/>
        <w:numPr>
          <w:ilvl w:val="0"/>
          <w:numId w:val="8"/>
        </w:numPr>
        <w:spacing w:after="0" w:line="240" w:lineRule="auto"/>
        <w:rPr>
          <w:rFonts w:ascii="Arial" w:eastAsia="Calibri" w:hAnsi="Arial" w:cs="Times New Roman"/>
        </w:rPr>
      </w:pPr>
      <w:r w:rsidRPr="001A3941">
        <w:rPr>
          <w:rFonts w:ascii="Arial" w:eastAsia="Calibri" w:hAnsi="Arial" w:cs="Times New Roman"/>
        </w:rPr>
        <w:t xml:space="preserve">Of the 13 key organisational performance </w:t>
      </w:r>
      <w:r w:rsidRPr="00493E90">
        <w:rPr>
          <w:rFonts w:ascii="Arial" w:eastAsia="Calibri" w:hAnsi="Arial" w:cs="Times New Roman"/>
        </w:rPr>
        <w:t>measures; 1</w:t>
      </w:r>
      <w:r>
        <w:rPr>
          <w:rFonts w:ascii="Arial" w:eastAsia="Calibri" w:hAnsi="Arial" w:cs="Times New Roman"/>
        </w:rPr>
        <w:t>2</w:t>
      </w:r>
      <w:r w:rsidRPr="00493E90">
        <w:rPr>
          <w:rFonts w:ascii="Arial" w:eastAsia="Calibri" w:hAnsi="Arial" w:cs="Times New Roman"/>
        </w:rPr>
        <w:t xml:space="preserve"> can </w:t>
      </w:r>
      <w:r w:rsidRPr="001A3941">
        <w:rPr>
          <w:rFonts w:ascii="Arial" w:eastAsia="Calibri" w:hAnsi="Arial" w:cs="Times New Roman"/>
        </w:rPr>
        <w:t>be reported at the end of</w:t>
      </w:r>
      <w:r>
        <w:rPr>
          <w:rFonts w:ascii="Arial" w:eastAsia="Calibri" w:hAnsi="Arial" w:cs="Times New Roman"/>
        </w:rPr>
        <w:t xml:space="preserve"> the</w:t>
      </w:r>
      <w:r w:rsidRPr="001A3941">
        <w:rPr>
          <w:rFonts w:ascii="Arial" w:eastAsia="Calibri" w:hAnsi="Arial" w:cs="Times New Roman"/>
        </w:rPr>
        <w:t xml:space="preserve"> quarter</w:t>
      </w:r>
      <w:r>
        <w:rPr>
          <w:rFonts w:ascii="Arial" w:eastAsia="Calibri" w:hAnsi="Arial" w:cs="Times New Roman"/>
        </w:rPr>
        <w:t>. nine</w:t>
      </w:r>
      <w:r w:rsidRPr="00493E90">
        <w:rPr>
          <w:rFonts w:ascii="Arial" w:eastAsia="Calibri" w:hAnsi="Arial" w:cs="Times New Roman"/>
        </w:rPr>
        <w:t xml:space="preserve"> are performing better than target; two are performing worse that target but within a 5% tolerance of the target; and one is worse </w:t>
      </w:r>
      <w:r w:rsidRPr="001A3941">
        <w:rPr>
          <w:rFonts w:ascii="Arial" w:eastAsia="Calibri" w:hAnsi="Arial" w:cs="Times New Roman"/>
        </w:rPr>
        <w:t>than target</w:t>
      </w:r>
      <w:r>
        <w:rPr>
          <w:rFonts w:ascii="Arial" w:eastAsia="Calibri" w:hAnsi="Arial" w:cs="Times New Roman"/>
        </w:rPr>
        <w:t xml:space="preserve"> and outside the 5% tolerance </w:t>
      </w:r>
      <w:r w:rsidRPr="00493E90">
        <w:rPr>
          <w:rFonts w:ascii="Arial" w:eastAsia="Calibri" w:hAnsi="Arial" w:cs="Times New Roman"/>
        </w:rPr>
        <w:t>of the target</w:t>
      </w:r>
      <w:r>
        <w:rPr>
          <w:rFonts w:ascii="Arial" w:eastAsia="Calibri" w:hAnsi="Arial" w:cs="Times New Roman"/>
        </w:rPr>
        <w:t>.</w:t>
      </w:r>
      <w:r w:rsidRPr="001A3941">
        <w:rPr>
          <w:rFonts w:ascii="Arial" w:eastAsia="Calibri" w:hAnsi="Arial" w:cs="Times New Roman"/>
        </w:rPr>
        <w:t xml:space="preserve"> </w:t>
      </w:r>
    </w:p>
    <w:p w:rsidR="00E444CB" w:rsidRPr="00776FBD" w:rsidP="00E444CB">
      <w:pPr>
        <w:pStyle w:val="ListParagraph"/>
        <w:rPr>
          <w:rFonts w:ascii="Arial" w:eastAsia="Calibri" w:hAnsi="Arial" w:cs="Times New Roman"/>
        </w:rPr>
      </w:pPr>
    </w:p>
    <w:p w:rsidR="00E444CB" w:rsidP="00E444CB">
      <w:pPr>
        <w:pStyle w:val="ListParagraph"/>
        <w:numPr>
          <w:ilvl w:val="0"/>
          <w:numId w:val="8"/>
        </w:numPr>
        <w:spacing w:after="0" w:line="240" w:lineRule="auto"/>
        <w:rPr>
          <w:rFonts w:ascii="Arial" w:eastAsia="Calibri" w:hAnsi="Arial" w:cs="Times New Roman"/>
        </w:rPr>
      </w:pPr>
      <w:r>
        <w:rPr>
          <w:rFonts w:ascii="Arial" w:eastAsia="Calibri" w:hAnsi="Arial" w:cs="Times New Roman"/>
        </w:rPr>
        <w:t xml:space="preserve">This quarter will be the last time the 2021/22 Corporate </w:t>
      </w:r>
      <w:r>
        <w:rPr>
          <w:rFonts w:ascii="Arial" w:eastAsia="Calibri" w:hAnsi="Arial" w:cs="Times New Roman"/>
        </w:rPr>
        <w:t xml:space="preserve">Strategy projects will be reported to Cabinet. The projects that are not yet complete will either be carried forward to be delivered as part of the 2022/23 Corporate Strategy, are due to complete in quarter four or will continue to be delivered as part of </w:t>
      </w:r>
      <w:r>
        <w:rPr>
          <w:rFonts w:ascii="Arial" w:eastAsia="Calibri" w:hAnsi="Arial" w:cs="Times New Roman"/>
        </w:rPr>
        <w:t xml:space="preserve">business as usual activity. Details of each projects position can be found at Appendix 3.  </w:t>
      </w:r>
    </w:p>
    <w:p w:rsidR="00E444CB" w:rsidRPr="00776FBD" w:rsidP="00E444CB">
      <w:pPr>
        <w:pStyle w:val="ListParagraph"/>
        <w:rPr>
          <w:rFonts w:ascii="Arial" w:eastAsia="Calibri" w:hAnsi="Arial" w:cs="Times New Roman"/>
        </w:rPr>
      </w:pPr>
    </w:p>
    <w:p w:rsidR="00E444CB" w:rsidRPr="00ED4FF1" w:rsidP="00E444CB">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rsidR="00E444CB" w:rsidRPr="005B7EDA" w:rsidP="00E444CB">
      <w:pPr>
        <w:pStyle w:val="ListParagraph"/>
        <w:numPr>
          <w:ilvl w:val="0"/>
          <w:numId w:val="8"/>
        </w:numPr>
        <w:spacing w:after="0" w:line="240" w:lineRule="auto"/>
        <w:rPr>
          <w:rFonts w:ascii="Arial" w:eastAsia="Calibri" w:hAnsi="Arial" w:cs="Times New Roman"/>
        </w:rPr>
      </w:pPr>
      <w:r w:rsidRPr="005B7EDA">
        <w:rPr>
          <w:rFonts w:ascii="Arial" w:eastAsia="Calibri" w:hAnsi="Arial" w:cs="Times New Roman"/>
        </w:rPr>
        <w:t>At Council on 30 September 2020, the Corporate Strategy was updated and refreshed to ensure that the Council can continue to meet the need</w:t>
      </w:r>
      <w:r w:rsidRPr="005B7EDA">
        <w:rPr>
          <w:rFonts w:ascii="Arial" w:eastAsia="Calibri" w:hAnsi="Arial" w:cs="Times New Roman"/>
        </w:rPr>
        <w:t>s of the borough.</w:t>
      </w:r>
    </w:p>
    <w:p w:rsidR="00E444CB" w:rsidRPr="005B7EDA" w:rsidP="00E444CB">
      <w:pPr>
        <w:pStyle w:val="ListParagraph"/>
        <w:spacing w:after="0" w:line="240" w:lineRule="auto"/>
        <w:rPr>
          <w:rFonts w:ascii="Arial" w:eastAsia="Calibri" w:hAnsi="Arial" w:cs="Times New Roman"/>
        </w:rPr>
      </w:pPr>
    </w:p>
    <w:p w:rsidR="00E444CB" w:rsidRPr="00F87D59" w:rsidP="00E444CB">
      <w:pPr>
        <w:numPr>
          <w:ilvl w:val="0"/>
          <w:numId w:val="8"/>
        </w:numPr>
        <w:spacing w:after="0" w:line="240" w:lineRule="auto"/>
        <w:contextualSpacing/>
        <w:rPr>
          <w:rFonts w:ascii="Arial" w:eastAsia="Calibri" w:hAnsi="Arial" w:cs="Times New Roman"/>
        </w:rPr>
      </w:pPr>
      <w:r w:rsidRPr="00F87D59">
        <w:rPr>
          <w:rFonts w:ascii="Arial" w:eastAsia="Calibri" w:hAnsi="Arial" w:cs="Times New Roman"/>
        </w:rPr>
        <w:t>The four priorities identified in the strategy are:</w:t>
      </w:r>
    </w:p>
    <w:p w:rsidR="00E444CB" w:rsidRPr="00F87D59" w:rsidP="00E444CB">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An exemplary council,</w:t>
      </w:r>
    </w:p>
    <w:p w:rsidR="00E444CB" w:rsidRPr="00F87D59" w:rsidP="00E444CB">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Thriving communities,</w:t>
      </w:r>
    </w:p>
    <w:p w:rsidR="00E444CB" w:rsidRPr="00F87D59" w:rsidP="00E444CB">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A fair local economy that works for everyone,</w:t>
      </w:r>
    </w:p>
    <w:p w:rsidR="00E444CB" w:rsidRPr="00F87D59" w:rsidP="00E444CB">
      <w:pPr>
        <w:numPr>
          <w:ilvl w:val="0"/>
          <w:numId w:val="14"/>
        </w:numPr>
        <w:spacing w:after="0" w:line="240" w:lineRule="auto"/>
        <w:contextualSpacing/>
        <w:rPr>
          <w:rFonts w:ascii="Arial" w:eastAsia="Calibri" w:hAnsi="Arial" w:cs="Times New Roman"/>
        </w:rPr>
      </w:pPr>
      <w:r w:rsidRPr="00F87D59">
        <w:rPr>
          <w:rFonts w:ascii="Arial" w:eastAsia="Calibri" w:hAnsi="Arial" w:cs="Times New Roman"/>
        </w:rPr>
        <w:t>Good homes, green spaces, healthy places.</w:t>
      </w:r>
    </w:p>
    <w:p w:rsidR="00E444CB" w:rsidRPr="00F87D59" w:rsidP="00E444CB">
      <w:pPr>
        <w:spacing w:after="0" w:line="240" w:lineRule="auto"/>
        <w:ind w:left="720"/>
        <w:jc w:val="both"/>
        <w:rPr>
          <w:rFonts w:cstheme="minorHAnsi"/>
          <w:bCs/>
          <w:i/>
        </w:rPr>
      </w:pPr>
    </w:p>
    <w:p w:rsidR="00E444CB" w:rsidRPr="00F87D59" w:rsidP="00E444CB">
      <w:pPr>
        <w:pStyle w:val="ListParagraph"/>
        <w:numPr>
          <w:ilvl w:val="0"/>
          <w:numId w:val="8"/>
        </w:numPr>
        <w:spacing w:after="0" w:line="240" w:lineRule="auto"/>
        <w:rPr>
          <w:rFonts w:ascii="Arial" w:eastAsia="Calibri" w:hAnsi="Arial" w:cs="Times New Roman"/>
        </w:rPr>
      </w:pPr>
      <w:r w:rsidRPr="00F87D59">
        <w:rPr>
          <w:rFonts w:ascii="Arial" w:eastAsia="Calibri" w:hAnsi="Arial" w:cs="Times New Roman"/>
        </w:rPr>
        <w:t>Activity and resources are targeted towards 14 prior</w:t>
      </w:r>
      <w:r w:rsidRPr="00F87D59">
        <w:rPr>
          <w:rFonts w:ascii="Arial" w:eastAsia="Calibri" w:hAnsi="Arial" w:cs="Times New Roman"/>
        </w:rPr>
        <w:t xml:space="preserve">ity projects which are delivered over a period of 12-18 months and measured using 24 performance indicators. This report provides the status of the projects and measures at the end of quarter </w:t>
      </w:r>
      <w:r>
        <w:rPr>
          <w:rFonts w:ascii="Arial" w:eastAsia="Calibri" w:hAnsi="Arial" w:cs="Times New Roman"/>
        </w:rPr>
        <w:t>three, 2021-22</w:t>
      </w:r>
      <w:r w:rsidRPr="00F87D59">
        <w:rPr>
          <w:rFonts w:ascii="Arial" w:eastAsia="Calibri" w:hAnsi="Arial" w:cs="Times New Roman"/>
        </w:rPr>
        <w:t>.</w:t>
      </w:r>
    </w:p>
    <w:p w:rsidR="00E444CB" w:rsidRPr="00F87D59" w:rsidP="00E444CB">
      <w:pPr>
        <w:spacing w:after="0" w:line="240" w:lineRule="auto"/>
        <w:ind w:left="720"/>
        <w:jc w:val="both"/>
        <w:rPr>
          <w:rFonts w:cstheme="minorHAnsi"/>
          <w:bCs/>
          <w:i/>
        </w:rPr>
      </w:pPr>
    </w:p>
    <w:p w:rsidR="00E444CB" w:rsidRPr="00F87D59" w:rsidP="00E444CB">
      <w:pPr>
        <w:numPr>
          <w:ilvl w:val="0"/>
          <w:numId w:val="8"/>
        </w:numPr>
        <w:spacing w:after="0" w:line="240" w:lineRule="auto"/>
        <w:contextualSpacing/>
        <w:rPr>
          <w:rFonts w:ascii="Arial" w:eastAsia="Calibri" w:hAnsi="Arial" w:cs="Times New Roman"/>
        </w:rPr>
      </w:pPr>
      <w:r w:rsidRPr="00F87D59">
        <w:rPr>
          <w:rFonts w:ascii="Arial" w:eastAsia="Calibri" w:hAnsi="Arial" w:cs="Times New Roman"/>
        </w:rPr>
        <w:t>A colour rating system is used to indicate stat</w:t>
      </w:r>
      <w:r w:rsidRPr="00F87D59">
        <w:rPr>
          <w:rFonts w:ascii="Arial" w:eastAsia="Calibri" w:hAnsi="Arial" w:cs="Times New Roman"/>
        </w:rPr>
        <w:t>us whereby:</w:t>
      </w:r>
    </w:p>
    <w:p w:rsidR="00E444CB" w:rsidRPr="00E54FF6" w:rsidP="00E444CB">
      <w:pPr>
        <w:pStyle w:val="ListParagraph"/>
        <w:spacing w:after="0" w:line="240" w:lineRule="auto"/>
        <w:ind w:left="360"/>
        <w:jc w:val="both"/>
        <w:rPr>
          <w:rFonts w:cstheme="minorHAnsi"/>
          <w:bCs/>
          <w:iCs/>
        </w:rPr>
      </w:pPr>
      <w:r w:rsidRPr="00E54FF6">
        <w:rPr>
          <w:rFonts w:cstheme="minorHAnsi"/>
          <w:bCs/>
          <w:iCs/>
        </w:rPr>
        <w:t xml:space="preserve"> </w:t>
      </w:r>
    </w:p>
    <w:p w:rsidR="00E444CB" w:rsidP="00E444CB">
      <w:pPr>
        <w:widowControl w:val="0"/>
        <w:spacing w:after="0" w:line="240" w:lineRule="auto"/>
        <w:ind w:firstLine="360"/>
        <w:outlineLvl w:val="0"/>
        <w:rPr>
          <w:rFonts w:ascii="Arial" w:eastAsia="Times New Roman" w:hAnsi="Arial" w:cs="Times New Roman"/>
          <w:b/>
          <w:lang w:eastAsia="en-GB"/>
        </w:rPr>
      </w:pPr>
      <w:r w:rsidRPr="001A3941">
        <w:rPr>
          <w:rFonts w:ascii="Arial" w:eastAsia="Times New Roman" w:hAnsi="Arial" w:cs="Times New Roman"/>
          <w:b/>
          <w:lang w:eastAsia="en-GB"/>
        </w:rPr>
        <w:t>Projects</w:t>
      </w:r>
    </w:p>
    <w:p w:rsidR="00E444CB" w:rsidP="00E444CB">
      <w:pPr>
        <w:widowControl w:val="0"/>
        <w:spacing w:after="0" w:line="240" w:lineRule="auto"/>
        <w:ind w:firstLine="709"/>
        <w:outlineLvl w:val="0"/>
        <w:rPr>
          <w:rFonts w:ascii="Arial" w:eastAsia="Times New Roman" w:hAnsi="Arial" w:cs="Times New Roman"/>
          <w:b/>
          <w:lang w:eastAsia="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
        <w:gridCol w:w="6913"/>
      </w:tblGrid>
      <w:tr w:rsidTr="00E444CB">
        <w:tblPrEx>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51"/>
        </w:trPr>
        <w:tc>
          <w:tcPr>
            <w:tcW w:w="1023" w:type="dxa"/>
            <w:shd w:val="clear" w:color="auto" w:fill="auto"/>
            <w:vAlign w:val="center"/>
          </w:tcPr>
          <w:p w:rsidR="00E444CB" w:rsidRPr="001A3941" w:rsidP="00E444CB">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0000"/>
              </w:rPr>
              <w:t>RED</w:t>
            </w:r>
          </w:p>
        </w:tc>
        <w:tc>
          <w:tcPr>
            <w:tcW w:w="6913" w:type="dxa"/>
            <w:shd w:val="clear" w:color="auto" w:fill="auto"/>
            <w:vAlign w:val="center"/>
          </w:tcPr>
          <w:p w:rsidR="00E444CB" w:rsidRPr="001A3941" w:rsidP="00E444CB">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Off track</w:t>
            </w:r>
          </w:p>
        </w:tc>
      </w:tr>
      <w:tr w:rsidTr="00E444CB">
        <w:tblPrEx>
          <w:tblW w:w="0" w:type="auto"/>
          <w:tblInd w:w="421" w:type="dxa"/>
          <w:tblLook w:val="04A0"/>
        </w:tblPrEx>
        <w:trPr>
          <w:trHeight w:val="251"/>
        </w:trPr>
        <w:tc>
          <w:tcPr>
            <w:tcW w:w="1023" w:type="dxa"/>
            <w:shd w:val="clear" w:color="auto" w:fill="auto"/>
            <w:vAlign w:val="center"/>
          </w:tcPr>
          <w:p w:rsidR="00E444CB" w:rsidRPr="001A3941" w:rsidP="00E444CB">
            <w:pPr>
              <w:widowControl w:val="0"/>
              <w:spacing w:after="0" w:line="256" w:lineRule="auto"/>
              <w:contextualSpacing/>
              <w:jc w:val="center"/>
              <w:outlineLvl w:val="0"/>
              <w:rPr>
                <w:rFonts w:ascii="Arial" w:eastAsia="Calibri" w:hAnsi="Arial" w:cs="Times New Roman"/>
                <w:b/>
                <w:color w:val="FFC000"/>
              </w:rPr>
            </w:pPr>
            <w:r w:rsidRPr="001A3941">
              <w:rPr>
                <w:rFonts w:ascii="Arial" w:eastAsia="Calibri" w:hAnsi="Arial" w:cs="Times New Roman"/>
                <w:b/>
                <w:color w:val="FFC000"/>
              </w:rPr>
              <w:t>AMBER</w:t>
            </w:r>
          </w:p>
        </w:tc>
        <w:tc>
          <w:tcPr>
            <w:tcW w:w="6913" w:type="dxa"/>
            <w:shd w:val="clear" w:color="auto" w:fill="auto"/>
            <w:vAlign w:val="center"/>
          </w:tcPr>
          <w:p w:rsidR="00E444CB" w:rsidRPr="001A3941" w:rsidP="00E444CB">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Forecast delays or concerns, an early warning of issues</w:t>
            </w:r>
          </w:p>
        </w:tc>
      </w:tr>
      <w:tr w:rsidTr="00E444CB">
        <w:tblPrEx>
          <w:tblW w:w="0" w:type="auto"/>
          <w:tblInd w:w="421" w:type="dxa"/>
          <w:tblLook w:val="04A0"/>
        </w:tblPrEx>
        <w:trPr>
          <w:trHeight w:val="181"/>
        </w:trPr>
        <w:tc>
          <w:tcPr>
            <w:tcW w:w="1023" w:type="dxa"/>
            <w:shd w:val="clear" w:color="auto" w:fill="auto"/>
            <w:vAlign w:val="center"/>
          </w:tcPr>
          <w:p w:rsidR="00E444CB" w:rsidRPr="001A3941" w:rsidP="00E444CB">
            <w:pPr>
              <w:widowControl w:val="0"/>
              <w:spacing w:after="0" w:line="256" w:lineRule="auto"/>
              <w:contextualSpacing/>
              <w:jc w:val="center"/>
              <w:outlineLvl w:val="0"/>
              <w:rPr>
                <w:rFonts w:ascii="Arial" w:eastAsia="Calibri" w:hAnsi="Arial" w:cs="Times New Roman"/>
                <w:b/>
                <w:color w:val="FF0000"/>
              </w:rPr>
            </w:pPr>
            <w:r w:rsidRPr="001A3941">
              <w:rPr>
                <w:rFonts w:ascii="Arial" w:eastAsia="Calibri" w:hAnsi="Arial" w:cs="Times New Roman"/>
                <w:b/>
                <w:color w:val="00B050"/>
              </w:rPr>
              <w:t>GREEN</w:t>
            </w:r>
          </w:p>
        </w:tc>
        <w:tc>
          <w:tcPr>
            <w:tcW w:w="6913" w:type="dxa"/>
            <w:shd w:val="clear" w:color="auto" w:fill="auto"/>
            <w:vAlign w:val="center"/>
          </w:tcPr>
          <w:p w:rsidR="00E444CB" w:rsidRPr="001A3941" w:rsidP="00E444CB">
            <w:pPr>
              <w:widowControl w:val="0"/>
              <w:spacing w:after="0" w:line="256" w:lineRule="auto"/>
              <w:contextualSpacing/>
              <w:outlineLvl w:val="0"/>
              <w:rPr>
                <w:rFonts w:ascii="Arial" w:eastAsia="Calibri" w:hAnsi="Arial" w:cs="Times New Roman"/>
                <w:bCs/>
              </w:rPr>
            </w:pPr>
            <w:r w:rsidRPr="001A3941">
              <w:rPr>
                <w:rFonts w:ascii="Arial" w:eastAsia="Calibri" w:hAnsi="Arial" w:cs="Times New Roman"/>
                <w:bCs/>
              </w:rPr>
              <w:t>On track and progressing as planning</w:t>
            </w:r>
          </w:p>
        </w:tc>
      </w:tr>
    </w:tbl>
    <w:p w:rsidR="00E444CB" w:rsidP="00E444CB">
      <w:pPr>
        <w:spacing w:after="0" w:line="240" w:lineRule="auto"/>
        <w:ind w:firstLine="709"/>
        <w:rPr>
          <w:rFonts w:ascii="Arial" w:eastAsia="Times New Roman" w:hAnsi="Arial" w:cs="Times New Roman"/>
          <w:b/>
          <w:szCs w:val="20"/>
          <w:lang w:eastAsia="en-GB"/>
        </w:rPr>
      </w:pPr>
    </w:p>
    <w:p w:rsidR="00E444CB" w:rsidP="00E444CB">
      <w:pPr>
        <w:spacing w:after="0" w:line="240" w:lineRule="auto"/>
        <w:ind w:left="426"/>
        <w:rPr>
          <w:rFonts w:ascii="Arial" w:eastAsia="Times New Roman" w:hAnsi="Arial" w:cs="Times New Roman"/>
          <w:b/>
          <w:szCs w:val="20"/>
          <w:lang w:eastAsia="en-GB"/>
        </w:rPr>
      </w:pPr>
      <w:r w:rsidRPr="001A3941">
        <w:rPr>
          <w:rFonts w:ascii="Arial" w:eastAsia="Times New Roman" w:hAnsi="Arial" w:cs="Times New Roman"/>
          <w:b/>
          <w:szCs w:val="20"/>
          <w:lang w:eastAsia="en-GB"/>
        </w:rPr>
        <w:t>Performance Indicators</w:t>
      </w:r>
    </w:p>
    <w:p w:rsidR="00E444CB" w:rsidRPr="001A3941" w:rsidP="00E444CB">
      <w:pPr>
        <w:spacing w:after="0" w:line="240" w:lineRule="auto"/>
        <w:ind w:firstLine="709"/>
        <w:rPr>
          <w:rFonts w:ascii="Arial" w:eastAsia="Times New Roman" w:hAnsi="Arial" w:cs="Times New Roman"/>
          <w:b/>
          <w:szCs w:val="20"/>
          <w:lang w:eastAsia="en-GB"/>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6968"/>
      </w:tblGrid>
      <w:tr w:rsidTr="00E444CB">
        <w:tblPrEx>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21"/>
        </w:trPr>
        <w:tc>
          <w:tcPr>
            <w:tcW w:w="968" w:type="dxa"/>
            <w:shd w:val="clear" w:color="auto" w:fill="auto"/>
            <w:vAlign w:val="center"/>
          </w:tcPr>
          <w:p w:rsidR="00E444CB" w:rsidRPr="001A3941" w:rsidP="00E444CB">
            <w:pPr>
              <w:widowControl w:val="0"/>
              <w:spacing w:after="0" w:line="256" w:lineRule="auto"/>
              <w:contextualSpacing/>
              <w:jc w:val="center"/>
              <w:outlineLvl w:val="0"/>
              <w:rPr>
                <w:rFonts w:ascii="Arial" w:eastAsia="Calibri" w:hAnsi="Arial" w:cs="Times New Roman"/>
                <w:b/>
                <w:color w:val="00B050"/>
              </w:rPr>
            </w:pPr>
            <w:r w:rsidRPr="001A3941">
              <w:rPr>
                <w:rFonts w:ascii="Wingdings 3" w:eastAsia="Calibri" w:hAnsi="Wingdings 3" w:cs="Times New Roman"/>
                <w:color w:val="FF0000"/>
                <w:sz w:val="32"/>
              </w:rPr>
              <w:sym w:font="Wingdings 3" w:char="F070"/>
            </w:r>
          </w:p>
        </w:tc>
        <w:tc>
          <w:tcPr>
            <w:tcW w:w="6968" w:type="dxa"/>
            <w:shd w:val="clear" w:color="auto" w:fill="auto"/>
            <w:vAlign w:val="center"/>
          </w:tcPr>
          <w:p w:rsidR="00E444CB" w:rsidRPr="001A3941" w:rsidP="00E444CB">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Worse than target, outside threshold</w:t>
            </w:r>
          </w:p>
        </w:tc>
      </w:tr>
      <w:tr w:rsidTr="00E444CB">
        <w:tblPrEx>
          <w:tblW w:w="0" w:type="auto"/>
          <w:tblInd w:w="421" w:type="dxa"/>
          <w:tblLook w:val="04A0"/>
        </w:tblPrEx>
        <w:trPr>
          <w:trHeight w:val="521"/>
        </w:trPr>
        <w:tc>
          <w:tcPr>
            <w:tcW w:w="968" w:type="dxa"/>
            <w:shd w:val="clear" w:color="auto" w:fill="auto"/>
            <w:vAlign w:val="center"/>
          </w:tcPr>
          <w:p w:rsidR="00E444CB" w:rsidRPr="001A3941" w:rsidP="00E444CB">
            <w:pPr>
              <w:widowControl w:val="0"/>
              <w:spacing w:after="0" w:line="256" w:lineRule="auto"/>
              <w:contextualSpacing/>
              <w:jc w:val="center"/>
              <w:outlineLvl w:val="0"/>
              <w:rPr>
                <w:rFonts w:ascii="Arial" w:eastAsia="Calibri" w:hAnsi="Arial" w:cs="Times New Roman"/>
                <w:b/>
                <w:color w:val="5B9BD5"/>
              </w:rPr>
            </w:pPr>
            <w:r w:rsidRPr="001A3941">
              <w:rPr>
                <w:rFonts w:ascii="Wingdings" w:eastAsia="Calibri" w:hAnsi="Wingdings" w:cs="Times New Roman"/>
                <w:color w:val="5B9BD5"/>
                <w:sz w:val="44"/>
              </w:rPr>
              <w:sym w:font="Wingdings" w:char="F06C"/>
            </w:r>
          </w:p>
        </w:tc>
        <w:tc>
          <w:tcPr>
            <w:tcW w:w="6968" w:type="dxa"/>
            <w:shd w:val="clear" w:color="auto" w:fill="auto"/>
            <w:vAlign w:val="center"/>
          </w:tcPr>
          <w:p w:rsidR="00E444CB" w:rsidRPr="001A3941" w:rsidP="00E444CB">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 xml:space="preserve">Worse than target but within </w:t>
            </w:r>
            <w:r w:rsidRPr="001A3941">
              <w:rPr>
                <w:rFonts w:ascii="Arial" w:eastAsia="Arial" w:hAnsi="Arial" w:cs="Times New Roman"/>
                <w:bCs/>
                <w:color w:val="000000"/>
              </w:rPr>
              <w:t>threshold (5%)</w:t>
            </w:r>
          </w:p>
        </w:tc>
      </w:tr>
      <w:tr w:rsidTr="00E444CB">
        <w:tblPrEx>
          <w:tblW w:w="0" w:type="auto"/>
          <w:tblInd w:w="421" w:type="dxa"/>
          <w:tblLook w:val="04A0"/>
        </w:tblPrEx>
        <w:trPr>
          <w:trHeight w:val="521"/>
        </w:trPr>
        <w:tc>
          <w:tcPr>
            <w:tcW w:w="968" w:type="dxa"/>
            <w:shd w:val="clear" w:color="auto" w:fill="auto"/>
            <w:vAlign w:val="center"/>
          </w:tcPr>
          <w:p w:rsidR="00E444CB" w:rsidRPr="001A3941" w:rsidP="00E444CB">
            <w:pPr>
              <w:widowControl w:val="0"/>
              <w:spacing w:after="0" w:line="256" w:lineRule="auto"/>
              <w:contextualSpacing/>
              <w:jc w:val="center"/>
              <w:outlineLvl w:val="0"/>
              <w:rPr>
                <w:rFonts w:ascii="Arial" w:eastAsia="Calibri" w:hAnsi="Arial" w:cs="Times New Roman"/>
                <w:b/>
                <w:color w:val="00B050"/>
              </w:rPr>
            </w:pPr>
            <w:r w:rsidRPr="001A3941">
              <w:rPr>
                <w:rFonts w:ascii="Wingdings" w:eastAsia="Calibri" w:hAnsi="Wingdings" w:cs="Times New Roman"/>
                <w:color w:val="00B050"/>
                <w:sz w:val="44"/>
              </w:rPr>
              <w:sym w:font="Wingdings" w:char="F0AB"/>
            </w:r>
          </w:p>
        </w:tc>
        <w:tc>
          <w:tcPr>
            <w:tcW w:w="6968" w:type="dxa"/>
            <w:shd w:val="clear" w:color="auto" w:fill="auto"/>
            <w:vAlign w:val="center"/>
          </w:tcPr>
          <w:p w:rsidR="00E444CB" w:rsidRPr="001A3941" w:rsidP="00E444CB">
            <w:pPr>
              <w:widowControl w:val="0"/>
              <w:spacing w:after="0" w:line="256" w:lineRule="auto"/>
              <w:contextualSpacing/>
              <w:outlineLvl w:val="0"/>
              <w:rPr>
                <w:rFonts w:ascii="Arial" w:eastAsia="Arial" w:hAnsi="Arial" w:cs="Times New Roman"/>
                <w:bCs/>
                <w:color w:val="000000"/>
              </w:rPr>
            </w:pPr>
            <w:r w:rsidRPr="001A3941">
              <w:rPr>
                <w:rFonts w:ascii="Arial" w:eastAsia="Arial" w:hAnsi="Arial" w:cs="Times New Roman"/>
                <w:bCs/>
                <w:color w:val="000000"/>
              </w:rPr>
              <w:t>Performance is better than target</w:t>
            </w:r>
          </w:p>
        </w:tc>
      </w:tr>
    </w:tbl>
    <w:p w:rsidR="00E444CB" w:rsidP="00E444CB">
      <w:pPr>
        <w:spacing w:after="0" w:line="240" w:lineRule="auto"/>
        <w:ind w:left="720"/>
        <w:jc w:val="both"/>
        <w:rPr>
          <w:rFonts w:cstheme="minorHAnsi"/>
          <w:bCs/>
          <w:i/>
        </w:rPr>
      </w:pPr>
    </w:p>
    <w:p w:rsidR="00E444CB" w:rsidP="00E444CB">
      <w:pPr>
        <w:spacing w:after="0" w:line="240" w:lineRule="auto"/>
        <w:jc w:val="both"/>
        <w:rPr>
          <w:rFonts w:cstheme="minorHAnsi"/>
          <w:bCs/>
          <w:i/>
        </w:rPr>
        <w:sectPr w:rsidSect="00E444CB">
          <w:type w:val="continuous"/>
          <w:pgSz w:w="11906" w:h="16838"/>
          <w:pgMar w:top="1440" w:right="1440" w:bottom="1134" w:left="1440" w:header="708" w:footer="708" w:gutter="0"/>
          <w:cols w:space="708"/>
          <w:docGrid w:linePitch="360"/>
        </w:sectPr>
      </w:pPr>
    </w:p>
    <w:tbl>
      <w:tblPr>
        <w:tblpPr w:leftFromText="180" w:rightFromText="180" w:vertAnchor="page" w:horzAnchor="margin" w:tblpXSpec="center" w:tblpY="3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3117"/>
        <w:gridCol w:w="3117"/>
      </w:tblGrid>
      <w:tr w:rsidTr="00E444CB">
        <w:tblPrEx>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841"/>
        </w:trPr>
        <w:tc>
          <w:tcPr>
            <w:tcW w:w="9351" w:type="dxa"/>
            <w:gridSpan w:val="3"/>
            <w:tcBorders>
              <w:top w:val="nil"/>
              <w:left w:val="nil"/>
              <w:right w:val="nil"/>
            </w:tcBorders>
            <w:shd w:val="clear" w:color="auto" w:fill="auto"/>
          </w:tcPr>
          <w:p w:rsidR="00E444CB" w:rsidRPr="00CD4177" w:rsidP="00E444CB">
            <w:pPr>
              <w:pStyle w:val="ListParagraph"/>
              <w:widowControl w:val="0"/>
              <w:spacing w:after="0"/>
              <w:ind w:left="0" w:firstLine="208"/>
              <w:outlineLvl w:val="0"/>
              <w:rPr>
                <w:rFonts w:cs="Arial"/>
                <w:b/>
              </w:rPr>
            </w:pPr>
            <w:bookmarkStart w:id="2" w:name="_Hlk54077637"/>
            <w:r w:rsidRPr="00CD4177">
              <w:rPr>
                <w:rFonts w:cs="Arial"/>
                <w:b/>
                <w:noProof/>
              </w:rPr>
              <w:drawing>
                <wp:inline distT="0" distB="0" distL="0" distR="0">
                  <wp:extent cx="1085850" cy="1314450"/>
                  <wp:effectExtent l="0" t="0" r="0" b="0"/>
                  <wp:docPr id="2" name="Picture 2"/>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1495336405" name="Picture 1"/>
                          <pic:cNvPicPr>
                            <a:picLocks noRot="1" noChangeAspect="1" noMove="1" noResize="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b="-22183"/>
                          <a:stretch>
                            <a:fillRect/>
                          </a:stretch>
                        </pic:blipFill>
                        <pic:spPr bwMode="auto">
                          <a:xfrm>
                            <a:off x="0" y="0"/>
                            <a:ext cx="1085850" cy="1314450"/>
                          </a:xfrm>
                          <a:prstGeom prst="rect">
                            <a:avLst/>
                          </a:prstGeom>
                          <a:noFill/>
                          <a:ln>
                            <a:noFill/>
                          </a:ln>
                        </pic:spPr>
                      </pic:pic>
                    </a:graphicData>
                  </a:graphic>
                </wp:inline>
              </w:drawing>
            </w:r>
            <w:r w:rsidRPr="00CD4177">
              <w:rPr>
                <w:rFonts w:cs="Arial"/>
                <w:b/>
              </w:rPr>
              <w:t xml:space="preserve"> </w:t>
            </w:r>
            <w:r w:rsidRPr="00CD4177">
              <w:rPr>
                <w:rFonts w:cs="Arial"/>
                <w:b/>
                <w:noProof/>
              </w:rPr>
              <w:drawing>
                <wp:inline distT="0" distB="0" distL="0" distR="0">
                  <wp:extent cx="26384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22024" name="Picture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638425" cy="1133475"/>
                          </a:xfrm>
                          <a:prstGeom prst="rect">
                            <a:avLst/>
                          </a:prstGeom>
                          <a:noFill/>
                          <a:ln>
                            <a:noFill/>
                          </a:ln>
                        </pic:spPr>
                      </pic:pic>
                    </a:graphicData>
                  </a:graphic>
                </wp:inline>
              </w:drawing>
            </w:r>
          </w:p>
          <w:p w:rsidR="00E444CB" w:rsidP="00E444CB">
            <w:pPr>
              <w:pStyle w:val="ListParagraph"/>
              <w:widowControl w:val="0"/>
              <w:spacing w:after="0"/>
              <w:ind w:left="0"/>
              <w:outlineLvl w:val="0"/>
              <w:rPr>
                <w:rFonts w:cs="Arial"/>
                <w:b/>
                <w:color w:val="0094C8"/>
              </w:rPr>
            </w:pPr>
            <w:r w:rsidRPr="00552B66">
              <w:rPr>
                <w:rFonts w:cs="Arial"/>
                <w:b/>
                <w:color w:val="4E95C7"/>
              </w:rPr>
              <w:t>A COUNCIL THAT</w:t>
            </w:r>
            <w:r w:rsidRPr="00CD4177">
              <w:rPr>
                <w:rFonts w:cs="Arial"/>
                <w:b/>
                <w:color w:val="0094C8"/>
              </w:rPr>
              <w:t>:</w:t>
            </w:r>
          </w:p>
          <w:p w:rsidR="00E444CB" w:rsidRPr="00CD4177" w:rsidP="00E444CB">
            <w:pPr>
              <w:pStyle w:val="ListParagraph"/>
              <w:widowControl w:val="0"/>
              <w:spacing w:after="0"/>
              <w:ind w:left="0"/>
              <w:outlineLvl w:val="0"/>
              <w:rPr>
                <w:rFonts w:cs="Arial"/>
                <w:b/>
                <w:color w:val="0094C8"/>
              </w:rPr>
            </w:pPr>
          </w:p>
        </w:tc>
      </w:tr>
      <w:tr w:rsidTr="00E444CB">
        <w:tblPrEx>
          <w:tblW w:w="9351" w:type="dxa"/>
          <w:tblLook w:val="04A0"/>
        </w:tblPrEx>
        <w:trPr>
          <w:trHeight w:val="855"/>
        </w:trPr>
        <w:tc>
          <w:tcPr>
            <w:tcW w:w="3117" w:type="dxa"/>
            <w:tcBorders>
              <w:top w:val="single" w:sz="18" w:space="0" w:color="FFFFFF"/>
              <w:left w:val="single" w:sz="18" w:space="0" w:color="FFFFFF"/>
              <w:bottom w:val="single" w:sz="18" w:space="0" w:color="FFFFFF"/>
              <w:right w:val="single" w:sz="18" w:space="0" w:color="FFFFFF"/>
            </w:tcBorders>
            <w:shd w:val="clear" w:color="auto" w:fill="auto"/>
          </w:tcPr>
          <w:p w:rsidR="00E444CB" w:rsidRPr="001D2EA5" w:rsidP="00E444CB">
            <w:pPr>
              <w:rPr>
                <w:b/>
                <w:bCs/>
                <w:color w:val="4E95C7"/>
              </w:rPr>
            </w:pPr>
            <w:r w:rsidRPr="001D2EA5">
              <w:rPr>
                <w:b/>
                <w:bCs/>
                <w:color w:val="4E95C7"/>
              </w:rPr>
              <w:t>Delivers high performing services that represent value for money</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rsidR="00E444CB" w:rsidRPr="001D2EA5" w:rsidP="00E444CB">
            <w:pPr>
              <w:rPr>
                <w:b/>
                <w:bCs/>
                <w:color w:val="4E95C7"/>
              </w:rPr>
            </w:pPr>
            <w:r w:rsidRPr="001D2EA5">
              <w:rPr>
                <w:b/>
                <w:bCs/>
                <w:color w:val="4E95C7"/>
              </w:rPr>
              <w:t>Understand the community and work with partners to make things better</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rsidR="00E444CB" w:rsidRPr="001D2EA5" w:rsidP="00E444CB">
            <w:pPr>
              <w:rPr>
                <w:b/>
                <w:bCs/>
                <w:color w:val="4E95C7"/>
              </w:rPr>
            </w:pPr>
            <w:r w:rsidRPr="001D2EA5">
              <w:rPr>
                <w:b/>
                <w:bCs/>
                <w:color w:val="4E95C7"/>
              </w:rPr>
              <w:t xml:space="preserve">Is open and </w:t>
            </w:r>
            <w:r w:rsidRPr="001D2EA5">
              <w:rPr>
                <w:b/>
                <w:bCs/>
                <w:color w:val="4E95C7"/>
              </w:rPr>
              <w:t>transparent in its activities</w:t>
            </w:r>
          </w:p>
        </w:tc>
      </w:tr>
    </w:tbl>
    <w:p w:rsidR="00E444CB" w:rsidRPr="00460D79" w:rsidP="00E444CB">
      <w:pPr>
        <w:pStyle w:val="Heading2"/>
        <w:spacing w:after="0" w:afterAutospacing="0"/>
        <w:rPr>
          <w:rFonts w:asciiTheme="majorHAnsi" w:hAnsiTheme="majorHAnsi" w:cstheme="majorHAnsi"/>
          <w:sz w:val="22"/>
          <w:szCs w:val="22"/>
        </w:rPr>
      </w:pPr>
      <w:bookmarkEnd w:id="2"/>
      <w:r w:rsidRPr="00460D79">
        <w:rPr>
          <w:rFonts w:asciiTheme="majorHAnsi" w:hAnsiTheme="majorHAnsi" w:cstheme="majorHAnsi"/>
          <w:sz w:val="22"/>
          <w:szCs w:val="22"/>
        </w:rPr>
        <w:t>Achievements this quarter</w:t>
      </w:r>
    </w:p>
    <w:p w:rsidR="00E444CB" w:rsidRPr="001C21FA" w:rsidP="00E444CB">
      <w:pPr>
        <w:pStyle w:val="ListParagraph"/>
        <w:spacing w:after="0" w:line="240" w:lineRule="auto"/>
        <w:ind w:left="360"/>
        <w:rPr>
          <w:rFonts w:ascii="Arial" w:eastAsia="Calibri" w:hAnsi="Arial" w:cs="Times New Roman"/>
          <w:color w:val="FF0000"/>
        </w:rPr>
      </w:pPr>
    </w:p>
    <w:p w:rsidR="00E444CB" w:rsidRPr="00D25330" w:rsidP="00E444CB">
      <w:pPr>
        <w:pStyle w:val="ListParagraph"/>
        <w:numPr>
          <w:ilvl w:val="0"/>
          <w:numId w:val="8"/>
        </w:numPr>
        <w:rPr>
          <w:rFonts w:ascii="Arial" w:eastAsia="Times New Roman" w:hAnsi="Arial" w:cs="Arial"/>
        </w:rPr>
      </w:pPr>
      <w:bookmarkStart w:id="3" w:name="_Hlk95483036"/>
      <w:r>
        <w:rPr>
          <w:rFonts w:ascii="Arial" w:eastAsia="Times New Roman" w:hAnsi="Arial" w:cs="Arial"/>
        </w:rPr>
        <w:t xml:space="preserve">Consultation was completed and proposals finalised to establish a single operating model for Customer Services.  Following consideration by the Shared Services Joint Committee and </w:t>
      </w:r>
      <w:r>
        <w:rPr>
          <w:rFonts w:ascii="Arial" w:eastAsia="Times New Roman" w:hAnsi="Arial" w:cs="Arial"/>
        </w:rPr>
        <w:t xml:space="preserve">subsequent approval, the proposals will now be implemented to ensure a fit for purpose structure that can maintain the delivery of excellent customer services in line with increasing customer expectations. </w:t>
      </w:r>
      <w:bookmarkEnd w:id="3"/>
      <w:r>
        <w:rPr>
          <w:rFonts w:ascii="Arial" w:eastAsia="Times New Roman" w:hAnsi="Arial" w:cs="Arial"/>
        </w:rPr>
        <w:t>T</w:t>
      </w:r>
      <w:r w:rsidRPr="0000579C">
        <w:rPr>
          <w:rFonts w:ascii="Arial" w:eastAsia="Times New Roman" w:hAnsi="Arial" w:cs="Arial"/>
        </w:rPr>
        <w:t xml:space="preserve">he implementation of Shared ICT arrangements </w:t>
      </w:r>
      <w:r>
        <w:rPr>
          <w:rFonts w:ascii="Arial" w:eastAsia="Times New Roman" w:hAnsi="Arial" w:cs="Arial"/>
        </w:rPr>
        <w:t xml:space="preserve">has </w:t>
      </w:r>
      <w:r>
        <w:rPr>
          <w:rFonts w:ascii="Arial" w:eastAsia="Times New Roman" w:hAnsi="Arial" w:cs="Arial"/>
        </w:rPr>
        <w:t xml:space="preserve">moved forward with all internal appointments now completed and </w:t>
      </w:r>
      <w:r w:rsidRPr="0000579C">
        <w:rPr>
          <w:rFonts w:ascii="Arial" w:eastAsia="Times New Roman" w:hAnsi="Arial" w:cs="Arial"/>
        </w:rPr>
        <w:t xml:space="preserve">further recruitment underway to fill </w:t>
      </w:r>
      <w:r>
        <w:rPr>
          <w:rFonts w:ascii="Arial" w:eastAsia="Times New Roman" w:hAnsi="Arial" w:cs="Arial"/>
        </w:rPr>
        <w:t>additional posts to boost capacity</w:t>
      </w:r>
      <w:r w:rsidRPr="0000579C">
        <w:rPr>
          <w:rFonts w:ascii="Arial" w:eastAsia="Times New Roman" w:hAnsi="Arial" w:cs="Arial"/>
        </w:rPr>
        <w:t xml:space="preserve">. </w:t>
      </w:r>
      <w:r w:rsidRPr="00D25330">
        <w:rPr>
          <w:rFonts w:ascii="Arial" w:eastAsia="Calibri" w:hAnsi="Arial" w:cs="Times New Roman"/>
        </w:rPr>
        <w:t>Over the next quarter, work will also be carried out to deliver development support for shared services including induct</w:t>
      </w:r>
      <w:r w:rsidRPr="00D25330">
        <w:rPr>
          <w:rFonts w:ascii="Arial" w:eastAsia="Calibri" w:hAnsi="Arial" w:cs="Times New Roman"/>
        </w:rPr>
        <w:t xml:space="preserve">ion for new services and the opportunity for shared services staff to network and meet their colleagues, embedding the shared teams across the organisations. </w:t>
      </w:r>
    </w:p>
    <w:p w:rsidR="00E444CB" w:rsidRPr="00D25330" w:rsidP="00E444CB">
      <w:pPr>
        <w:pStyle w:val="ListParagraph"/>
        <w:ind w:left="360"/>
        <w:rPr>
          <w:rFonts w:ascii="Arial" w:eastAsia="Times New Roman" w:hAnsi="Arial" w:cs="Arial"/>
        </w:rPr>
      </w:pPr>
    </w:p>
    <w:p w:rsidR="00E444CB" w:rsidRPr="008D74F7" w:rsidP="00E444CB">
      <w:pPr>
        <w:pStyle w:val="ListParagraph"/>
        <w:numPr>
          <w:ilvl w:val="0"/>
          <w:numId w:val="8"/>
        </w:numPr>
        <w:spacing w:after="0" w:line="240" w:lineRule="auto"/>
        <w:rPr>
          <w:rFonts w:ascii="Arial" w:eastAsia="Calibri" w:hAnsi="Arial" w:cs="Times New Roman"/>
          <w:color w:val="FF0000"/>
        </w:rPr>
      </w:pPr>
      <w:r w:rsidRPr="00E402CC">
        <w:rPr>
          <w:rFonts w:ascii="Arial" w:eastAsia="Times New Roman" w:hAnsi="Arial" w:cs="Arial"/>
        </w:rPr>
        <w:t>A number of a</w:t>
      </w:r>
      <w:r w:rsidRPr="002F226C">
        <w:rPr>
          <w:rFonts w:ascii="Arial" w:eastAsia="Times New Roman" w:hAnsi="Arial" w:cs="Arial"/>
        </w:rPr>
        <w:t>ctions have been progressed as part of the Joint Di</w:t>
      </w:r>
      <w:r w:rsidRPr="00C63544">
        <w:rPr>
          <w:rFonts w:ascii="Arial" w:eastAsia="Times New Roman" w:hAnsi="Arial" w:cs="Arial"/>
        </w:rPr>
        <w:t>gital Strategy</w:t>
      </w:r>
      <w:r w:rsidRPr="00A01B8E">
        <w:rPr>
          <w:rFonts w:ascii="Arial" w:eastAsia="Times New Roman" w:hAnsi="Arial" w:cs="Arial"/>
        </w:rPr>
        <w:t xml:space="preserve"> </w:t>
      </w:r>
      <w:r w:rsidRPr="00E402CC">
        <w:rPr>
          <w:rFonts w:ascii="Arial" w:eastAsia="Times New Roman" w:hAnsi="Arial" w:cs="Arial"/>
        </w:rPr>
        <w:t>which will be further accelerated following recruitment to key roles within the new structure. Processes continue to be reviewed to ensure a digital first approach; procurement of hardware to improve connectivity to the Council leisure centres has commence</w:t>
      </w:r>
      <w:r w:rsidRPr="00E402CC">
        <w:rPr>
          <w:rFonts w:ascii="Arial" w:eastAsia="Times New Roman" w:hAnsi="Arial" w:cs="Arial"/>
        </w:rPr>
        <w:t xml:space="preserve">d; a digitisation review is underway </w:t>
      </w:r>
      <w:r w:rsidRPr="002F226C">
        <w:rPr>
          <w:rFonts w:ascii="Arial" w:eastAsia="Times New Roman" w:hAnsi="Arial" w:cs="Arial"/>
        </w:rPr>
        <w:t>to identify data that can be transferred to a digital format</w:t>
      </w:r>
      <w:r w:rsidRPr="00C63544">
        <w:rPr>
          <w:rFonts w:ascii="Arial" w:eastAsia="Times New Roman" w:hAnsi="Arial" w:cs="Arial"/>
        </w:rPr>
        <w:t xml:space="preserve"> starting with Planning and Facilities</w:t>
      </w:r>
      <w:r w:rsidRPr="00E402CC">
        <w:rPr>
          <w:rFonts w:ascii="Arial" w:eastAsia="Times New Roman" w:hAnsi="Arial" w:cs="Arial"/>
        </w:rPr>
        <w:t xml:space="preserve">; and ICT are testing out document management solutions ahead of sharing with other teams. </w:t>
      </w:r>
    </w:p>
    <w:p w:rsidR="00E444CB" w:rsidRPr="00E402CC" w:rsidP="00E444CB">
      <w:pPr>
        <w:pStyle w:val="ListParagraph"/>
        <w:spacing w:after="0" w:line="240" w:lineRule="auto"/>
        <w:ind w:left="360"/>
        <w:rPr>
          <w:rFonts w:ascii="Arial" w:eastAsia="Times New Roman" w:hAnsi="Arial" w:cs="Arial"/>
        </w:rPr>
      </w:pPr>
      <w:bookmarkStart w:id="4" w:name="_Hlk94624323"/>
    </w:p>
    <w:p w:rsidR="00E444CB" w:rsidP="00E444CB">
      <w:pPr>
        <w:pStyle w:val="ListParagraph"/>
        <w:numPr>
          <w:ilvl w:val="0"/>
          <w:numId w:val="8"/>
        </w:numPr>
        <w:spacing w:after="0"/>
        <w:rPr>
          <w:rFonts w:ascii="Arial" w:eastAsia="Calibri" w:hAnsi="Arial" w:cs="Arial"/>
        </w:rPr>
      </w:pPr>
      <w:bookmarkEnd w:id="4"/>
      <w:r>
        <w:rPr>
          <w:rFonts w:ascii="Arial" w:eastAsia="Calibri" w:hAnsi="Arial" w:cs="Arial"/>
        </w:rPr>
        <w:t>O</w:t>
      </w:r>
      <w:r w:rsidRPr="00460D79">
        <w:rPr>
          <w:rFonts w:ascii="Arial" w:eastAsia="Calibri" w:hAnsi="Arial" w:cs="Arial"/>
        </w:rPr>
        <w:t xml:space="preserve">f the four projects within </w:t>
      </w:r>
      <w:r w:rsidRPr="00460D79">
        <w:rPr>
          <w:rFonts w:ascii="Arial" w:eastAsia="Calibri" w:hAnsi="Arial" w:cs="Arial"/>
        </w:rPr>
        <w:t xml:space="preserve">this priority, </w:t>
      </w:r>
      <w:r>
        <w:rPr>
          <w:rFonts w:ascii="Arial" w:eastAsia="Calibri" w:hAnsi="Arial" w:cs="Arial"/>
        </w:rPr>
        <w:t>two</w:t>
      </w:r>
      <w:r w:rsidRPr="00460D79">
        <w:rPr>
          <w:rFonts w:ascii="Arial" w:eastAsia="Calibri" w:hAnsi="Arial" w:cs="Arial"/>
        </w:rPr>
        <w:t xml:space="preserve"> </w:t>
      </w:r>
      <w:r>
        <w:rPr>
          <w:rFonts w:ascii="Arial" w:eastAsia="Calibri" w:hAnsi="Arial" w:cs="Arial"/>
        </w:rPr>
        <w:t xml:space="preserve">are complete, one is rated green and one is </w:t>
      </w:r>
      <w:r w:rsidRPr="00460D79">
        <w:rPr>
          <w:rFonts w:ascii="Arial" w:eastAsia="Calibri" w:hAnsi="Arial" w:cs="Arial"/>
        </w:rPr>
        <w:t>rated amber.</w:t>
      </w:r>
    </w:p>
    <w:tbl>
      <w:tblPr>
        <w:tblpPr w:leftFromText="180" w:rightFromText="180" w:vertAnchor="text" w:horzAnchor="page" w:tblpX="1534" w:tblpY="208"/>
        <w:tblOverlap w:val="never"/>
        <w:tblW w:w="9874" w:type="dxa"/>
        <w:tblLook w:val="04A0"/>
      </w:tblPr>
      <w:tblGrid>
        <w:gridCol w:w="7675"/>
        <w:gridCol w:w="2199"/>
      </w:tblGrid>
      <w:tr w:rsidTr="00E444CB">
        <w:tblPrEx>
          <w:tblW w:w="9874" w:type="dxa"/>
          <w:tblLook w:val="04A0"/>
        </w:tblPrEx>
        <w:trPr>
          <w:trHeight w:val="276"/>
        </w:trPr>
        <w:tc>
          <w:tcPr>
            <w:tcW w:w="7675" w:type="dxa"/>
            <w:vMerge w:val="restart"/>
            <w:tcBorders>
              <w:top w:val="single" w:sz="4" w:space="0" w:color="auto"/>
              <w:left w:val="single" w:sz="4" w:space="0" w:color="auto"/>
              <w:right w:val="single" w:sz="4" w:space="0" w:color="auto"/>
            </w:tcBorders>
            <w:shd w:val="clear" w:color="auto" w:fill="BFBFBF"/>
            <w:vAlign w:val="center"/>
          </w:tcPr>
          <w:p w:rsidR="00E444CB" w:rsidRPr="0077663E" w:rsidP="00E444CB">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199" w:type="dxa"/>
            <w:tcBorders>
              <w:top w:val="single" w:sz="4" w:space="0" w:color="auto"/>
              <w:left w:val="single" w:sz="4" w:space="0" w:color="auto"/>
              <w:right w:val="single" w:sz="4" w:space="0" w:color="auto"/>
            </w:tcBorders>
            <w:shd w:val="clear" w:color="auto" w:fill="BFBFBF"/>
            <w:vAlign w:val="center"/>
          </w:tcPr>
          <w:p w:rsidR="00E444CB" w:rsidRPr="0077663E" w:rsidP="00E444CB">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Tr="00E444CB">
        <w:tblPrEx>
          <w:tblW w:w="9874" w:type="dxa"/>
          <w:tblLook w:val="04A0"/>
        </w:tblPrEx>
        <w:trPr>
          <w:trHeight w:val="468"/>
        </w:trPr>
        <w:tc>
          <w:tcPr>
            <w:tcW w:w="7675" w:type="dxa"/>
            <w:vMerge/>
            <w:tcBorders>
              <w:left w:val="single" w:sz="4" w:space="0" w:color="auto"/>
              <w:bottom w:val="single" w:sz="4" w:space="0" w:color="auto"/>
              <w:right w:val="single" w:sz="4" w:space="0" w:color="auto"/>
            </w:tcBorders>
            <w:shd w:val="clear" w:color="auto" w:fill="BFBFBF"/>
            <w:vAlign w:val="center"/>
          </w:tcPr>
          <w:p w:rsidR="00E444CB" w:rsidRPr="0077663E" w:rsidP="00E444CB">
            <w:pPr>
              <w:spacing w:after="0" w:line="240" w:lineRule="auto"/>
              <w:rPr>
                <w:rFonts w:ascii="Arial" w:eastAsia="Times New Roman" w:hAnsi="Arial" w:cs="Arial"/>
                <w:b/>
                <w:szCs w:val="20"/>
                <w:lang w:eastAsia="en-GB"/>
              </w:rPr>
            </w:pPr>
          </w:p>
        </w:tc>
        <w:tc>
          <w:tcPr>
            <w:tcW w:w="2199" w:type="dxa"/>
            <w:tcBorders>
              <w:left w:val="single" w:sz="4" w:space="0" w:color="auto"/>
              <w:bottom w:val="single" w:sz="4" w:space="0" w:color="auto"/>
              <w:right w:val="single" w:sz="4" w:space="0" w:color="auto"/>
            </w:tcBorders>
            <w:shd w:val="clear" w:color="auto" w:fill="BFBFBF"/>
            <w:vAlign w:val="center"/>
          </w:tcPr>
          <w:p w:rsidR="00E444CB" w:rsidRPr="0077663E" w:rsidP="00E444CB">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3</w:t>
            </w:r>
          </w:p>
          <w:p w:rsidR="00E444CB" w:rsidRPr="0077663E" w:rsidP="00E444CB">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Oct</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Dec</w:t>
            </w:r>
            <w:r w:rsidRPr="0077663E">
              <w:rPr>
                <w:rFonts w:ascii="Arial" w:eastAsia="Times New Roman" w:hAnsi="Arial" w:cs="Arial"/>
                <w:b/>
                <w:szCs w:val="20"/>
                <w:lang w:eastAsia="en-GB"/>
              </w:rPr>
              <w:t>)</w:t>
            </w:r>
          </w:p>
        </w:tc>
      </w:tr>
      <w:tr w:rsidTr="00E444CB">
        <w:tblPrEx>
          <w:tblW w:w="9874" w:type="dxa"/>
          <w:tblLook w:val="04A0"/>
        </w:tblPrEx>
        <w:trPr>
          <w:trHeight w:val="477"/>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77663E" w:rsidP="00E444CB">
            <w:pPr>
              <w:spacing w:after="0" w:line="240" w:lineRule="auto"/>
              <w:rPr>
                <w:rFonts w:ascii="Arial" w:eastAsia="Times New Roman" w:hAnsi="Arial" w:cs="Arial"/>
                <w:szCs w:val="20"/>
                <w:lang w:eastAsia="en-GB"/>
              </w:rPr>
            </w:pPr>
            <w:r w:rsidRPr="0077663E">
              <w:rPr>
                <w:rFonts w:ascii="Arial" w:eastAsia="Times New Roman" w:hAnsi="Arial" w:cs="Times New Roman"/>
                <w:b/>
                <w:szCs w:val="20"/>
                <w:lang w:eastAsia="en-GB"/>
              </w:rPr>
              <w:t>Deliver the Annual Governance Statement Action Plan</w:t>
            </w:r>
          </w:p>
        </w:tc>
        <w:tc>
          <w:tcPr>
            <w:tcW w:w="2199"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444CB" w:rsidRPr="00351CD5" w:rsidP="00E444CB">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COMPLETE</w:t>
            </w:r>
          </w:p>
        </w:tc>
      </w:tr>
      <w:tr w:rsidTr="00E444CB">
        <w:tblPrEx>
          <w:tblW w:w="9874" w:type="dxa"/>
          <w:tblLook w:val="04A0"/>
        </w:tblPrEx>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77663E" w:rsidP="00E444CB">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Transform the way the council operates</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rsidR="00E444CB" w:rsidRPr="006B5387" w:rsidP="00E444CB">
            <w:pPr>
              <w:spacing w:after="0" w:line="240" w:lineRule="auto"/>
              <w:jc w:val="center"/>
              <w:rPr>
                <w:rFonts w:ascii="Arial" w:eastAsia="Times New Roman" w:hAnsi="Arial" w:cs="Arial"/>
                <w:b/>
                <w:bCs/>
                <w:noProof/>
                <w:color w:val="FFFFFF" w:themeColor="background1"/>
                <w:szCs w:val="20"/>
                <w:lang w:eastAsia="en-GB"/>
              </w:rPr>
            </w:pPr>
            <w:r w:rsidRPr="006B5387">
              <w:rPr>
                <w:rFonts w:ascii="Arial" w:eastAsia="Times New Roman" w:hAnsi="Arial" w:cs="Arial"/>
                <w:b/>
                <w:bCs/>
                <w:noProof/>
                <w:color w:val="FFFFFF" w:themeColor="background1"/>
                <w:szCs w:val="20"/>
                <w:lang w:eastAsia="en-GB"/>
              </w:rPr>
              <w:t>GREEN</w:t>
            </w:r>
          </w:p>
        </w:tc>
      </w:tr>
      <w:tr w:rsidTr="00E444CB">
        <w:tblPrEx>
          <w:tblW w:w="9874" w:type="dxa"/>
          <w:tblLook w:val="04A0"/>
        </w:tblPrEx>
        <w:trPr>
          <w:trHeight w:val="468"/>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77663E" w:rsidP="00E444CB">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 xml:space="preserve">Work with partners to </w:t>
            </w:r>
            <w:r w:rsidRPr="0077663E">
              <w:rPr>
                <w:rFonts w:ascii="Arial" w:eastAsia="Times New Roman" w:hAnsi="Arial" w:cs="Arial"/>
                <w:b/>
                <w:bCs/>
                <w:szCs w:val="20"/>
                <w:lang w:eastAsia="en-GB"/>
              </w:rPr>
              <w:t>design and deliver better public service:</w:t>
            </w:r>
          </w:p>
        </w:tc>
        <w:tc>
          <w:tcPr>
            <w:tcW w:w="2199"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444CB" w:rsidRPr="00351CD5" w:rsidP="00E444CB">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COMPLETE</w:t>
            </w:r>
          </w:p>
        </w:tc>
      </w:tr>
      <w:tr w:rsidTr="00E444CB">
        <w:tblPrEx>
          <w:tblW w:w="9874" w:type="dxa"/>
          <w:tblLook w:val="04A0"/>
        </w:tblPrEx>
        <w:trPr>
          <w:trHeight w:val="534"/>
        </w:trPr>
        <w:tc>
          <w:tcPr>
            <w:tcW w:w="7675"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77663E" w:rsidP="00E444CB">
            <w:pPr>
              <w:spacing w:after="0" w:line="240" w:lineRule="auto"/>
              <w:rPr>
                <w:rFonts w:ascii="Arial" w:eastAsia="Times New Roman" w:hAnsi="Arial" w:cs="Arial"/>
                <w:b/>
                <w:bCs/>
                <w:szCs w:val="20"/>
                <w:lang w:eastAsia="en-GB"/>
              </w:rPr>
            </w:pPr>
            <w:r w:rsidRPr="0077663E">
              <w:rPr>
                <w:rFonts w:ascii="Arial" w:eastAsia="Times New Roman" w:hAnsi="Arial" w:cs="Arial"/>
                <w:b/>
                <w:bCs/>
                <w:szCs w:val="20"/>
                <w:lang w:eastAsia="en-GB"/>
              </w:rPr>
              <w:t>Deliver year one of the joint digital strategy</w:t>
            </w:r>
          </w:p>
        </w:tc>
        <w:tc>
          <w:tcPr>
            <w:tcW w:w="2199" w:type="dxa"/>
            <w:tcBorders>
              <w:top w:val="single" w:sz="4" w:space="0" w:color="auto"/>
              <w:left w:val="single" w:sz="4" w:space="0" w:color="auto"/>
              <w:bottom w:val="single" w:sz="4" w:space="0" w:color="auto"/>
              <w:right w:val="single" w:sz="4" w:space="0" w:color="auto"/>
            </w:tcBorders>
            <w:shd w:val="clear" w:color="auto" w:fill="FFC000"/>
            <w:vAlign w:val="center"/>
          </w:tcPr>
          <w:p w:rsidR="00E444CB" w:rsidRPr="0077663E" w:rsidP="00E444CB">
            <w:pPr>
              <w:spacing w:after="0" w:line="240" w:lineRule="auto"/>
              <w:jc w:val="center"/>
              <w:rPr>
                <w:rFonts w:ascii="Arial" w:eastAsia="Times New Roman" w:hAnsi="Arial" w:cs="Arial"/>
                <w:b/>
                <w:bCs/>
                <w:noProof/>
                <w:color w:val="7F7F7F"/>
                <w:szCs w:val="20"/>
                <w:lang w:eastAsia="en-GB"/>
              </w:rPr>
            </w:pPr>
            <w:r>
              <w:rPr>
                <w:rFonts w:ascii="Arial" w:eastAsia="Times New Roman" w:hAnsi="Arial" w:cs="Arial"/>
                <w:b/>
                <w:bCs/>
                <w:noProof/>
                <w:color w:val="FFFFFF" w:themeColor="background1"/>
                <w:szCs w:val="20"/>
                <w:lang w:eastAsia="en-GB"/>
              </w:rPr>
              <w:t>AMBER</w:t>
            </w:r>
          </w:p>
        </w:tc>
      </w:tr>
    </w:tbl>
    <w:p w:rsidR="00E444CB" w:rsidP="00E444CB">
      <w:pPr>
        <w:spacing w:after="0"/>
        <w:rPr>
          <w:rFonts w:ascii="Arial" w:eastAsia="Calibri" w:hAnsi="Arial" w:cs="Arial"/>
        </w:rPr>
      </w:pPr>
    </w:p>
    <w:p w:rsidR="00E444CB" w:rsidP="00E444CB">
      <w:pPr>
        <w:spacing w:after="0"/>
        <w:rPr>
          <w:rFonts w:ascii="Arial" w:eastAsia="Calibri" w:hAnsi="Arial" w:cs="Arial"/>
        </w:rPr>
      </w:pPr>
    </w:p>
    <w:p w:rsidR="00E444CB" w:rsidP="00E444CB">
      <w:pPr>
        <w:spacing w:after="0"/>
        <w:rPr>
          <w:rFonts w:ascii="Arial" w:eastAsia="Calibri" w:hAnsi="Arial" w:cs="Arial"/>
        </w:rPr>
      </w:pP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6035"/>
        <w:gridCol w:w="2056"/>
      </w:tblGrid>
      <w:tr w:rsidTr="00E444CB">
        <w:tblPrEx>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79"/>
        </w:trPr>
        <w:tc>
          <w:tcPr>
            <w:tcW w:w="7736" w:type="dxa"/>
            <w:gridSpan w:val="2"/>
            <w:shd w:val="clear" w:color="auto" w:fill="auto"/>
            <w:vAlign w:val="center"/>
          </w:tcPr>
          <w:p w:rsidR="00E444CB" w:rsidP="00E444CB">
            <w:pPr>
              <w:widowControl w:val="0"/>
              <w:rPr>
                <w:rFonts w:eastAsia="Calibri"/>
                <w:b/>
              </w:rPr>
            </w:pPr>
            <w:bookmarkStart w:id="5" w:name="_Hlk85188507"/>
            <w:r w:rsidRPr="0077663E">
              <w:rPr>
                <w:rFonts w:ascii="Arial" w:eastAsia="Times New Roman" w:hAnsi="Arial" w:cs="Arial"/>
                <w:b/>
                <w:bCs/>
                <w:szCs w:val="20"/>
                <w:lang w:eastAsia="en-GB"/>
              </w:rPr>
              <w:t>Deliver year one of the joint digital strategy</w:t>
            </w:r>
            <w:r w:rsidRPr="003510A3">
              <w:rPr>
                <w:rFonts w:eastAsia="Calibri"/>
                <w:b/>
              </w:rPr>
              <w:t>:</w:t>
            </w:r>
          </w:p>
          <w:p w:rsidR="00E444CB" w:rsidRPr="009B192A" w:rsidP="00E444CB">
            <w:pPr>
              <w:widowControl w:val="0"/>
              <w:spacing w:after="0" w:line="240" w:lineRule="auto"/>
              <w:rPr>
                <w:bCs/>
              </w:rPr>
            </w:pPr>
            <w:r w:rsidRPr="002D341E">
              <w:rPr>
                <w:bCs/>
              </w:rPr>
              <w:t>The strategy focuses on harnessing the potential of new technologies, whilst maximising the use of existing technologies to provide a customer focused approach to service delivery.</w:t>
            </w:r>
          </w:p>
        </w:tc>
        <w:tc>
          <w:tcPr>
            <w:tcW w:w="2056" w:type="dxa"/>
            <w:shd w:val="clear" w:color="auto" w:fill="FFC000"/>
            <w:vAlign w:val="center"/>
          </w:tcPr>
          <w:p w:rsidR="00E444CB" w:rsidRPr="00D3638D" w:rsidP="00E444CB">
            <w:pPr>
              <w:pStyle w:val="ListParagraph"/>
              <w:widowControl w:val="0"/>
              <w:spacing w:after="0"/>
              <w:ind w:left="0"/>
              <w:jc w:val="center"/>
              <w:outlineLvl w:val="0"/>
              <w:rPr>
                <w:b/>
                <w:color w:val="FFC000"/>
              </w:rPr>
            </w:pPr>
            <w:r w:rsidRPr="00CD576D">
              <w:rPr>
                <w:b/>
                <w:bCs/>
                <w:color w:val="FFFFFF" w:themeColor="background1"/>
                <w:sz w:val="24"/>
                <w:szCs w:val="24"/>
              </w:rPr>
              <w:t>AMBER</w:t>
            </w:r>
          </w:p>
        </w:tc>
      </w:tr>
      <w:tr w:rsidTr="00E444CB">
        <w:tblPrEx>
          <w:tblW w:w="9792" w:type="dxa"/>
          <w:tblInd w:w="137" w:type="dxa"/>
          <w:tblLook w:val="04A0"/>
        </w:tblPrEx>
        <w:trPr>
          <w:cantSplit/>
          <w:trHeight w:val="1189"/>
        </w:trPr>
        <w:tc>
          <w:tcPr>
            <w:tcW w:w="1701" w:type="dxa"/>
            <w:shd w:val="clear" w:color="auto" w:fill="auto"/>
          </w:tcPr>
          <w:p w:rsidR="00E444CB" w:rsidRPr="00017C72" w:rsidP="00E444CB">
            <w:pPr>
              <w:widowControl w:val="0"/>
              <w:rPr>
                <w:b/>
                <w:bCs/>
                <w:color w:val="FF0000"/>
              </w:rPr>
            </w:pPr>
            <w:r w:rsidRPr="00A54B9C">
              <w:rPr>
                <w:b/>
                <w:bCs/>
              </w:rPr>
              <w:t>Issue:</w:t>
            </w:r>
          </w:p>
        </w:tc>
        <w:tc>
          <w:tcPr>
            <w:tcW w:w="8091" w:type="dxa"/>
            <w:gridSpan w:val="2"/>
            <w:shd w:val="clear" w:color="auto" w:fill="auto"/>
            <w:vAlign w:val="center"/>
          </w:tcPr>
          <w:p w:rsidR="00E444CB" w:rsidRPr="002B2F4C" w:rsidP="00E444CB">
            <w:pPr>
              <w:spacing w:after="0" w:line="240" w:lineRule="auto"/>
              <w:contextualSpacing/>
              <w:rPr>
                <w:rFonts w:ascii="Arial" w:eastAsia="Times New Roman" w:hAnsi="Arial" w:cs="Arial"/>
                <w:szCs w:val="20"/>
              </w:rPr>
            </w:pPr>
            <w:r>
              <w:rPr>
                <w:rFonts w:ascii="Arial" w:eastAsia="Times New Roman" w:hAnsi="Arial" w:cs="Arial"/>
                <w:szCs w:val="20"/>
              </w:rPr>
              <w:t>There are several complex projects in the Digital Strategy th</w:t>
            </w:r>
            <w:r>
              <w:rPr>
                <w:rFonts w:ascii="Arial" w:eastAsia="Times New Roman" w:hAnsi="Arial" w:cs="Arial"/>
                <w:szCs w:val="20"/>
              </w:rPr>
              <w:t xml:space="preserve">at are dependent on specific skills and capacity to enable them to be delivered.  </w:t>
            </w:r>
          </w:p>
          <w:p w:rsidR="00E444CB" w:rsidP="00E444CB">
            <w:pPr>
              <w:spacing w:after="0" w:line="240" w:lineRule="auto"/>
              <w:contextualSpacing/>
              <w:rPr>
                <w:rFonts w:ascii="Arial" w:eastAsia="Times New Roman" w:hAnsi="Arial" w:cs="Arial"/>
                <w:szCs w:val="20"/>
              </w:rPr>
            </w:pPr>
          </w:p>
          <w:p w:rsidR="00E444CB" w:rsidP="00E444CB">
            <w:pPr>
              <w:spacing w:after="0" w:line="240" w:lineRule="auto"/>
              <w:rPr>
                <w:rFonts w:ascii="Arial" w:eastAsia="Times New Roman" w:hAnsi="Arial" w:cs="Arial"/>
                <w:szCs w:val="20"/>
              </w:rPr>
            </w:pPr>
            <w:r>
              <w:rPr>
                <w:rFonts w:ascii="Arial" w:eastAsia="Times New Roman" w:hAnsi="Arial" w:cs="Arial"/>
                <w:szCs w:val="20"/>
              </w:rPr>
              <w:t xml:space="preserve">Actions </w:t>
            </w:r>
            <w:r w:rsidRPr="002B2F4C">
              <w:rPr>
                <w:rFonts w:ascii="Arial" w:eastAsia="Times New Roman" w:hAnsi="Arial" w:cs="Arial"/>
                <w:szCs w:val="20"/>
              </w:rPr>
              <w:t>that could be delivered with</w:t>
            </w:r>
            <w:r>
              <w:rPr>
                <w:rFonts w:ascii="Arial" w:eastAsia="Times New Roman" w:hAnsi="Arial" w:cs="Arial"/>
                <w:szCs w:val="20"/>
              </w:rPr>
              <w:t>in</w:t>
            </w:r>
            <w:r w:rsidRPr="002B2F4C">
              <w:rPr>
                <w:rFonts w:ascii="Arial" w:eastAsia="Times New Roman" w:hAnsi="Arial" w:cs="Arial"/>
                <w:szCs w:val="20"/>
              </w:rPr>
              <w:t xml:space="preserve"> the current resources and skill base have progressed well and are being prioritised, with 69% of actions either in progress or complete. Significant progress being made in </w:t>
            </w:r>
            <w:r>
              <w:rPr>
                <w:rFonts w:ascii="Arial" w:eastAsia="Times New Roman" w:hAnsi="Arial" w:cs="Arial"/>
                <w:szCs w:val="20"/>
              </w:rPr>
              <w:t xml:space="preserve">areas </w:t>
            </w:r>
            <w:r w:rsidRPr="002B2F4C">
              <w:rPr>
                <w:rFonts w:ascii="Arial" w:eastAsia="Times New Roman" w:hAnsi="Arial" w:cs="Arial"/>
                <w:szCs w:val="20"/>
              </w:rPr>
              <w:t xml:space="preserve">such as in </w:t>
            </w:r>
            <w:r>
              <w:rPr>
                <w:rFonts w:ascii="Arial" w:eastAsia="Times New Roman" w:hAnsi="Arial" w:cs="Arial"/>
                <w:szCs w:val="20"/>
              </w:rPr>
              <w:t>the digitisation of data and automation of services, such as in Pl</w:t>
            </w:r>
            <w:r>
              <w:rPr>
                <w:rFonts w:ascii="Arial" w:eastAsia="Times New Roman" w:hAnsi="Arial" w:cs="Arial"/>
                <w:szCs w:val="20"/>
              </w:rPr>
              <w:t xml:space="preserve">anning. </w:t>
            </w:r>
          </w:p>
          <w:p w:rsidR="00E444CB" w:rsidRPr="001C21FA" w:rsidP="00E444CB">
            <w:pPr>
              <w:spacing w:after="0" w:line="240" w:lineRule="auto"/>
              <w:rPr>
                <w:rFonts w:eastAsia="Calibri" w:cs="Arial"/>
                <w:bCs/>
                <w:color w:val="FF0000"/>
              </w:rPr>
            </w:pPr>
          </w:p>
        </w:tc>
      </w:tr>
      <w:tr w:rsidTr="00E444CB">
        <w:tblPrEx>
          <w:tblW w:w="9792" w:type="dxa"/>
          <w:tblInd w:w="137" w:type="dxa"/>
          <w:tblLook w:val="04A0"/>
        </w:tblPrEx>
        <w:trPr>
          <w:cantSplit/>
          <w:trHeight w:val="1573"/>
        </w:trPr>
        <w:tc>
          <w:tcPr>
            <w:tcW w:w="1701" w:type="dxa"/>
            <w:shd w:val="clear" w:color="auto" w:fill="auto"/>
          </w:tcPr>
          <w:p w:rsidR="00E444CB" w:rsidP="00E444CB">
            <w:pPr>
              <w:widowControl w:val="0"/>
            </w:pPr>
            <w:r w:rsidRPr="00A54B9C">
              <w:rPr>
                <w:b/>
                <w:bCs/>
              </w:rPr>
              <w:t xml:space="preserve">Actions </w:t>
            </w:r>
            <w:r>
              <w:rPr>
                <w:b/>
                <w:bCs/>
              </w:rPr>
              <w:t xml:space="preserve">Plan -What will be done: </w:t>
            </w:r>
          </w:p>
        </w:tc>
        <w:tc>
          <w:tcPr>
            <w:tcW w:w="8091" w:type="dxa"/>
            <w:gridSpan w:val="2"/>
            <w:shd w:val="clear" w:color="auto" w:fill="auto"/>
            <w:vAlign w:val="center"/>
          </w:tcPr>
          <w:p w:rsidR="00E444CB" w:rsidP="00E444CB">
            <w:pPr>
              <w:spacing w:after="0" w:line="240" w:lineRule="auto"/>
              <w:contextualSpacing/>
              <w:rPr>
                <w:rFonts w:ascii="Arial" w:eastAsia="Calibri" w:hAnsi="Arial" w:cs="Times New Roman"/>
                <w:szCs w:val="18"/>
              </w:rPr>
            </w:pPr>
            <w:r w:rsidRPr="002B2F4C">
              <w:rPr>
                <w:rFonts w:ascii="Arial" w:eastAsia="Calibri" w:hAnsi="Arial" w:cs="Times New Roman"/>
                <w:szCs w:val="18"/>
              </w:rPr>
              <w:t xml:space="preserve">As part of the ICT shared services restructure, recruitment to the </w:t>
            </w:r>
            <w:r>
              <w:rPr>
                <w:rFonts w:ascii="Arial" w:eastAsia="Calibri" w:hAnsi="Arial" w:cs="Times New Roman"/>
                <w:szCs w:val="18"/>
              </w:rPr>
              <w:t xml:space="preserve">nine </w:t>
            </w:r>
            <w:r w:rsidRPr="002B2F4C">
              <w:rPr>
                <w:rFonts w:ascii="Arial" w:eastAsia="Calibri" w:hAnsi="Arial" w:cs="Times New Roman"/>
                <w:szCs w:val="18"/>
              </w:rPr>
              <w:t xml:space="preserve">vacant posts </w:t>
            </w:r>
            <w:r>
              <w:rPr>
                <w:rFonts w:ascii="Arial" w:eastAsia="Calibri" w:hAnsi="Arial" w:cs="Times New Roman"/>
                <w:szCs w:val="18"/>
              </w:rPr>
              <w:t xml:space="preserve">is currently </w:t>
            </w:r>
            <w:r w:rsidRPr="002B2F4C">
              <w:rPr>
                <w:rFonts w:ascii="Arial" w:eastAsia="Calibri" w:hAnsi="Arial" w:cs="Times New Roman"/>
                <w:szCs w:val="18"/>
              </w:rPr>
              <w:t>underway and estimated to be filled by April 2022. This should resolve the</w:t>
            </w:r>
            <w:r>
              <w:rPr>
                <w:rFonts w:ascii="Arial" w:eastAsia="Calibri" w:hAnsi="Arial" w:cs="Times New Roman"/>
                <w:szCs w:val="18"/>
              </w:rPr>
              <w:t xml:space="preserve"> skills and</w:t>
            </w:r>
            <w:r w:rsidRPr="002B2F4C">
              <w:rPr>
                <w:rFonts w:ascii="Arial" w:eastAsia="Calibri" w:hAnsi="Arial" w:cs="Times New Roman"/>
                <w:szCs w:val="18"/>
              </w:rPr>
              <w:t xml:space="preserve"> capacity issues that have affected the delivery of the project</w:t>
            </w:r>
            <w:r>
              <w:rPr>
                <w:rFonts w:ascii="Arial" w:eastAsia="Calibri" w:hAnsi="Arial" w:cs="Times New Roman"/>
                <w:szCs w:val="18"/>
              </w:rPr>
              <w:t xml:space="preserve"> and ensure it can move forward</w:t>
            </w:r>
            <w:r w:rsidRPr="002B2F4C">
              <w:rPr>
                <w:rFonts w:ascii="Arial" w:eastAsia="Calibri" w:hAnsi="Arial" w:cs="Times New Roman"/>
                <w:szCs w:val="18"/>
              </w:rPr>
              <w:t xml:space="preserve">. </w:t>
            </w:r>
          </w:p>
          <w:p w:rsidR="00E444CB" w:rsidP="00E444CB">
            <w:pPr>
              <w:spacing w:after="0" w:line="240" w:lineRule="auto"/>
              <w:contextualSpacing/>
              <w:rPr>
                <w:rFonts w:ascii="Arial" w:eastAsia="Calibri" w:hAnsi="Arial" w:cs="Times New Roman"/>
                <w:szCs w:val="18"/>
              </w:rPr>
            </w:pPr>
          </w:p>
          <w:p w:rsidR="00E444CB" w:rsidP="00E444CB">
            <w:pPr>
              <w:spacing w:after="0" w:line="240" w:lineRule="auto"/>
              <w:contextualSpacing/>
              <w:rPr>
                <w:rFonts w:ascii="Arial" w:eastAsia="Calibri" w:hAnsi="Arial" w:cs="Times New Roman"/>
                <w:szCs w:val="18"/>
              </w:rPr>
            </w:pPr>
            <w:r>
              <w:rPr>
                <w:rFonts w:ascii="Arial" w:eastAsia="Calibri" w:hAnsi="Arial" w:cs="Times New Roman"/>
                <w:szCs w:val="18"/>
              </w:rPr>
              <w:t xml:space="preserve">Actions are already in place to progress the strategy and </w:t>
            </w:r>
            <w:r w:rsidRPr="00F62156">
              <w:rPr>
                <w:rFonts w:ascii="Arial" w:eastAsia="Calibri" w:hAnsi="Arial" w:cs="Times New Roman"/>
                <w:szCs w:val="18"/>
              </w:rPr>
              <w:t xml:space="preserve">procurement </w:t>
            </w:r>
            <w:r>
              <w:rPr>
                <w:rFonts w:ascii="Arial" w:eastAsia="Calibri" w:hAnsi="Arial" w:cs="Times New Roman"/>
                <w:szCs w:val="18"/>
              </w:rPr>
              <w:t xml:space="preserve">for </w:t>
            </w:r>
            <w:r w:rsidRPr="00F62156">
              <w:rPr>
                <w:rFonts w:ascii="Arial" w:eastAsia="Calibri" w:hAnsi="Arial" w:cs="Times New Roman"/>
                <w:szCs w:val="18"/>
              </w:rPr>
              <w:t>software and hardware</w:t>
            </w:r>
            <w:r>
              <w:rPr>
                <w:rFonts w:ascii="Arial" w:eastAsia="Calibri" w:hAnsi="Arial" w:cs="Times New Roman"/>
                <w:szCs w:val="18"/>
              </w:rPr>
              <w:t xml:space="preserve"> was approved in December by Cabinet and will be jointly conduc</w:t>
            </w:r>
            <w:r>
              <w:rPr>
                <w:rFonts w:ascii="Arial" w:eastAsia="Calibri" w:hAnsi="Arial" w:cs="Times New Roman"/>
                <w:szCs w:val="18"/>
              </w:rPr>
              <w:t>ted with Chorley as part of the</w:t>
            </w:r>
            <w:r w:rsidRPr="00F62156">
              <w:rPr>
                <w:rFonts w:ascii="Arial" w:eastAsia="Calibri" w:hAnsi="Arial" w:cs="Times New Roman"/>
                <w:szCs w:val="18"/>
              </w:rPr>
              <w:t xml:space="preserve"> new shared ICT Service</w:t>
            </w:r>
            <w:r>
              <w:rPr>
                <w:rFonts w:ascii="Arial" w:eastAsia="Calibri" w:hAnsi="Arial" w:cs="Times New Roman"/>
                <w:szCs w:val="18"/>
              </w:rPr>
              <w:t xml:space="preserve">. </w:t>
            </w:r>
          </w:p>
          <w:p w:rsidR="00E444CB" w:rsidP="00E444CB">
            <w:pPr>
              <w:spacing w:after="0" w:line="240" w:lineRule="auto"/>
              <w:contextualSpacing/>
              <w:rPr>
                <w:rFonts w:ascii="Arial" w:eastAsia="Calibri" w:hAnsi="Arial" w:cs="Times New Roman"/>
                <w:szCs w:val="18"/>
              </w:rPr>
            </w:pPr>
          </w:p>
          <w:p w:rsidR="00E444CB" w:rsidRPr="00CE5027" w:rsidP="00E444CB">
            <w:pPr>
              <w:spacing w:after="0" w:line="240" w:lineRule="auto"/>
              <w:contextualSpacing/>
              <w:rPr>
                <w:rFonts w:ascii="Arial" w:eastAsia="Calibri" w:hAnsi="Arial" w:cs="Times New Roman"/>
                <w:szCs w:val="18"/>
              </w:rPr>
            </w:pPr>
            <w:r>
              <w:rPr>
                <w:rFonts w:ascii="Arial" w:eastAsia="Calibri" w:hAnsi="Arial" w:cs="Times New Roman"/>
                <w:szCs w:val="18"/>
              </w:rPr>
              <w:t>As the project and strategy move forward, to address the delays incurred within 2021/22, the project plan is to be reviewed and reprofiled with robust internal monitoring applied. The reprofiling ex</w:t>
            </w:r>
            <w:r>
              <w:rPr>
                <w:rFonts w:ascii="Arial" w:eastAsia="Calibri" w:hAnsi="Arial" w:cs="Times New Roman"/>
                <w:szCs w:val="18"/>
              </w:rPr>
              <w:t>ercise will ensure that objectives are prioritised based on business need and ensure that the project completes within its overall timescale by March 2024</w:t>
            </w:r>
          </w:p>
        </w:tc>
      </w:tr>
    </w:tbl>
    <w:p w:rsidR="00E444CB" w:rsidRPr="00460D79" w:rsidP="00E444CB">
      <w:pPr>
        <w:pStyle w:val="Heading2"/>
        <w:rPr>
          <w:rFonts w:asciiTheme="majorHAnsi" w:hAnsiTheme="majorHAnsi" w:cstheme="majorHAnsi"/>
          <w:sz w:val="22"/>
          <w:szCs w:val="22"/>
        </w:rPr>
      </w:pPr>
      <w:bookmarkEnd w:id="5"/>
      <w:r>
        <w:rPr>
          <w:rFonts w:asciiTheme="majorHAnsi" w:hAnsiTheme="majorHAnsi" w:cstheme="majorHAnsi"/>
          <w:sz w:val="22"/>
          <w:szCs w:val="22"/>
        </w:rPr>
        <w:t>K</w:t>
      </w:r>
      <w:r w:rsidRPr="00460D79">
        <w:rPr>
          <w:rFonts w:asciiTheme="majorHAnsi" w:hAnsiTheme="majorHAnsi" w:cstheme="majorHAnsi"/>
          <w:sz w:val="22"/>
          <w:szCs w:val="22"/>
        </w:rPr>
        <w:t>ey Performance Indicators</w:t>
      </w:r>
    </w:p>
    <w:p w:rsidR="00E444CB" w:rsidRPr="00460D79" w:rsidP="00E444CB">
      <w:pPr>
        <w:pStyle w:val="ListParagraph"/>
        <w:numPr>
          <w:ilvl w:val="0"/>
          <w:numId w:val="8"/>
        </w:numPr>
        <w:rPr>
          <w:rFonts w:ascii="Arial" w:eastAsia="Calibri" w:hAnsi="Arial" w:cs="Arial"/>
        </w:rPr>
      </w:pPr>
      <w:r w:rsidRPr="00460D79">
        <w:rPr>
          <w:rFonts w:ascii="Arial" w:eastAsia="Calibri" w:hAnsi="Arial" w:cs="Arial"/>
        </w:rPr>
        <w:t xml:space="preserve">Of the five performance measures reported under this outcome, </w:t>
      </w:r>
      <w:r>
        <w:rPr>
          <w:rFonts w:ascii="Arial" w:eastAsia="Calibri" w:hAnsi="Arial" w:cs="Arial"/>
        </w:rPr>
        <w:t>one is</w:t>
      </w:r>
      <w:r w:rsidRPr="00460D79">
        <w:rPr>
          <w:rFonts w:ascii="Arial" w:eastAsia="Calibri" w:hAnsi="Arial" w:cs="Arial"/>
        </w:rPr>
        <w:t xml:space="preserve"> due to be reported this quarter</w:t>
      </w:r>
      <w:r>
        <w:rPr>
          <w:rFonts w:ascii="Arial" w:eastAsia="Calibri" w:hAnsi="Arial" w:cs="Arial"/>
        </w:rPr>
        <w:t>.  This indicator is currently rated off track and outside of the 5% threshold.</w:t>
      </w:r>
    </w:p>
    <w:p w:rsidR="00E444CB" w:rsidRPr="00374F5D" w:rsidP="00E444CB">
      <w:pPr>
        <w:spacing w:after="0" w:line="240" w:lineRule="auto"/>
        <w:rPr>
          <w:rFonts w:ascii="Arial" w:eastAsia="Calibri" w:hAnsi="Arial" w:cs="Times New Roman"/>
        </w:rPr>
      </w:pPr>
    </w:p>
    <w:p w:rsidR="00E444CB" w:rsidP="00E444CB">
      <w:pPr>
        <w:pStyle w:val="ListParagraph"/>
        <w:numPr>
          <w:ilvl w:val="0"/>
          <w:numId w:val="15"/>
        </w:numPr>
        <w:spacing w:after="0" w:line="240" w:lineRule="auto"/>
        <w:rPr>
          <w:rFonts w:ascii="Arial" w:eastAsia="Calibri" w:hAnsi="Arial" w:cs="Times New Roman"/>
        </w:rPr>
      </w:pPr>
      <w:r w:rsidRPr="0077663E">
        <w:rPr>
          <w:rFonts w:ascii="Arial" w:eastAsia="Calibri" w:hAnsi="Arial" w:cs="Times New Roman"/>
        </w:rPr>
        <w:t>At least 40% of service requests will be received via self-service channels</w:t>
      </w:r>
    </w:p>
    <w:p w:rsidR="00E444CB" w:rsidP="00E444CB">
      <w:pPr>
        <w:spacing w:after="0" w:line="240" w:lineRule="auto"/>
        <w:rPr>
          <w:rFonts w:ascii="Arial" w:eastAsia="Calibri" w:hAnsi="Arial" w:cs="Times New Roman"/>
        </w:rPr>
      </w:pPr>
    </w:p>
    <w:tbl>
      <w:tblPr>
        <w:tblpPr w:leftFromText="180" w:rightFromText="180" w:vertAnchor="text"/>
        <w:tblW w:w="9780" w:type="dxa"/>
        <w:tblCellMar>
          <w:left w:w="0" w:type="dxa"/>
          <w:right w:w="0" w:type="dxa"/>
        </w:tblCellMar>
        <w:tblLook w:val="04A0"/>
      </w:tblPr>
      <w:tblGrid>
        <w:gridCol w:w="3095"/>
        <w:gridCol w:w="1161"/>
        <w:gridCol w:w="1560"/>
        <w:gridCol w:w="1275"/>
        <w:gridCol w:w="1276"/>
        <w:gridCol w:w="1413"/>
      </w:tblGrid>
      <w:tr w:rsidTr="00E444CB">
        <w:tblPrEx>
          <w:tblW w:w="9780" w:type="dxa"/>
          <w:tblCellMar>
            <w:left w:w="0" w:type="dxa"/>
            <w:right w:w="0" w:type="dxa"/>
          </w:tblCellMar>
          <w:tblLook w:val="04A0"/>
        </w:tblPrEx>
        <w:trPr>
          <w:trHeight w:val="549"/>
        </w:trPr>
        <w:tc>
          <w:tcPr>
            <w:tcW w:w="30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E444CB" w:rsidP="00E444CB">
            <w:pPr>
              <w:pStyle w:val="ListParagraph"/>
              <w:ind w:left="0"/>
              <w:rPr>
                <w:b/>
                <w:bCs/>
              </w:rPr>
            </w:pPr>
            <w:r>
              <w:rPr>
                <w:b/>
                <w:bCs/>
              </w:rPr>
              <w:t>Key Performance Indic</w:t>
            </w:r>
            <w:r>
              <w:rPr>
                <w:b/>
                <w:bCs/>
                <w:color w:val="000000"/>
              </w:rPr>
              <w:t>ator</w:t>
            </w:r>
          </w:p>
        </w:tc>
        <w:tc>
          <w:tcPr>
            <w:tcW w:w="116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444CB" w:rsidP="00E444CB">
            <w:pPr>
              <w:pStyle w:val="ListParagraph"/>
              <w:ind w:left="0"/>
              <w:jc w:val="center"/>
              <w:rPr>
                <w:b/>
                <w:bCs/>
              </w:rPr>
            </w:pPr>
            <w:r>
              <w:rPr>
                <w:b/>
                <w:bCs/>
                <w:color w:val="000000"/>
              </w:rPr>
              <w:t>Target</w:t>
            </w:r>
          </w:p>
        </w:tc>
        <w:tc>
          <w:tcPr>
            <w:tcW w:w="15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444CB" w:rsidP="00E444CB">
            <w:pPr>
              <w:pStyle w:val="ListParagraph"/>
              <w:ind w:left="0"/>
              <w:jc w:val="center"/>
              <w:rPr>
                <w:b/>
                <w:bCs/>
              </w:rPr>
            </w:pPr>
            <w:r>
              <w:rPr>
                <w:b/>
                <w:bCs/>
                <w:color w:val="000000"/>
              </w:rPr>
              <w:t>Comparable Period</w:t>
            </w:r>
          </w:p>
        </w:tc>
        <w:tc>
          <w:tcPr>
            <w:tcW w:w="127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444CB" w:rsidP="00E444CB">
            <w:pPr>
              <w:spacing w:after="0" w:line="240" w:lineRule="auto"/>
              <w:jc w:val="center"/>
              <w:rPr>
                <w:b/>
                <w:bCs/>
              </w:rPr>
            </w:pPr>
            <w:r>
              <w:rPr>
                <w:b/>
                <w:bCs/>
                <w:color w:val="000000"/>
              </w:rPr>
              <w:t>Quarter 3</w:t>
            </w:r>
          </w:p>
          <w:p w:rsidR="00E444CB" w:rsidP="00E444CB">
            <w:pPr>
              <w:pStyle w:val="ListParagraph"/>
              <w:spacing w:after="0" w:line="240" w:lineRule="auto"/>
              <w:ind w:left="0"/>
              <w:jc w:val="center"/>
              <w:rPr>
                <w:b/>
                <w:bCs/>
              </w:rPr>
            </w:pPr>
            <w:r>
              <w:rPr>
                <w:b/>
                <w:bCs/>
                <w:color w:val="000000"/>
              </w:rPr>
              <w:t>2021/22</w:t>
            </w:r>
          </w:p>
        </w:tc>
        <w:tc>
          <w:tcPr>
            <w:tcW w:w="127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444CB" w:rsidP="00E444CB">
            <w:pPr>
              <w:pStyle w:val="ListParagraph"/>
              <w:ind w:left="0"/>
              <w:jc w:val="center"/>
              <w:rPr>
                <w:b/>
                <w:bCs/>
              </w:rPr>
            </w:pPr>
            <w:r>
              <w:rPr>
                <w:b/>
                <w:bCs/>
                <w:color w:val="000000"/>
              </w:rPr>
              <w:t>Symbol</w:t>
            </w:r>
          </w:p>
        </w:tc>
        <w:tc>
          <w:tcPr>
            <w:tcW w:w="141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444CB" w:rsidP="00E444CB">
            <w:pPr>
              <w:pStyle w:val="ListParagraph"/>
              <w:ind w:left="0"/>
              <w:jc w:val="center"/>
              <w:rPr>
                <w:b/>
                <w:bCs/>
              </w:rPr>
            </w:pPr>
            <w:r>
              <w:rPr>
                <w:b/>
                <w:bCs/>
                <w:color w:val="000000"/>
              </w:rPr>
              <w:t>Trend</w:t>
            </w:r>
          </w:p>
        </w:tc>
      </w:tr>
      <w:tr w:rsidTr="00E444CB">
        <w:tblPrEx>
          <w:tblW w:w="9780" w:type="dxa"/>
          <w:tblCellMar>
            <w:left w:w="0" w:type="dxa"/>
            <w:right w:w="0" w:type="dxa"/>
          </w:tblCellMar>
          <w:tblLook w:val="04A0"/>
        </w:tblPrEx>
        <w:trPr>
          <w:trHeight w:val="977"/>
        </w:trPr>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444CB" w:rsidP="00E444CB">
            <w:pPr>
              <w:pStyle w:val="ListParagraph"/>
              <w:ind w:left="0"/>
            </w:pPr>
            <w:r>
              <w:t>At least 40% of service requests will be received via self-service channels</w:t>
            </w: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4CB" w:rsidP="00E444CB">
            <w:pPr>
              <w:pStyle w:val="ListParagraph"/>
              <w:ind w:left="0"/>
              <w:jc w:val="center"/>
            </w:pPr>
            <w:r>
              <w:t>40%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4CB" w:rsidP="00E444CB">
            <w:pPr>
              <w:spacing w:after="0" w:line="240" w:lineRule="auto"/>
              <w:contextualSpacing/>
              <w:jc w:val="center"/>
              <w:rPr>
                <w:lang w:val="en-US"/>
              </w:rPr>
            </w:pPr>
            <w:r>
              <w:rPr>
                <w:lang w:val="en-US"/>
              </w:rPr>
              <w:t>25.78%</w:t>
            </w:r>
          </w:p>
          <w:p w:rsidR="00E444CB" w:rsidP="00E444CB">
            <w:pPr>
              <w:pStyle w:val="ListParagraph"/>
              <w:spacing w:after="0" w:line="240" w:lineRule="auto"/>
              <w:ind w:left="0"/>
              <w:jc w:val="center"/>
            </w:pPr>
            <w:r>
              <w:rPr>
                <w:lang w:val="en-US"/>
              </w:rPr>
              <w:t>(Q2 2021/22)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4CB" w:rsidP="00E444CB">
            <w:pPr>
              <w:pStyle w:val="ListParagraph"/>
              <w:ind w:left="0"/>
              <w:jc w:val="center"/>
              <w:rPr>
                <w:b/>
                <w:bCs/>
              </w:rPr>
            </w:pPr>
            <w:r>
              <w:rPr>
                <w:b/>
                <w:bCs/>
              </w:rPr>
              <w:t>22.75%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4CB" w:rsidP="00E444CB">
            <w:pPr>
              <w:pStyle w:val="ListParagraph"/>
              <w:ind w:left="0"/>
              <w:jc w:val="center"/>
            </w:pPr>
            <w:r>
              <w:rPr>
                <w:rFonts w:ascii="Wingdings 3" w:hAnsi="Wingdings 3"/>
                <w:color w:val="FF0000"/>
                <w:sz w:val="32"/>
                <w:szCs w:val="32"/>
              </w:rPr>
              <w:t>p</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444CB" w:rsidP="00E444CB">
            <w:pPr>
              <w:pStyle w:val="ListParagraph"/>
              <w:ind w:left="0"/>
            </w:pPr>
            <w:r>
              <w:t>Worse than Q3 2020/21</w:t>
            </w:r>
          </w:p>
        </w:tc>
      </w:tr>
      <w:tr w:rsidTr="00E444CB">
        <w:tblPrEx>
          <w:tblW w:w="9780" w:type="dxa"/>
          <w:tblCellMar>
            <w:left w:w="0" w:type="dxa"/>
            <w:right w:w="0" w:type="dxa"/>
          </w:tblCellMar>
          <w:tblLook w:val="04A0"/>
        </w:tblPrEx>
        <w:trPr>
          <w:trHeight w:val="689"/>
        </w:trPr>
        <w:tc>
          <w:tcPr>
            <w:tcW w:w="3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44CB" w:rsidP="00E444CB">
            <w:pPr>
              <w:pStyle w:val="ListParagraph"/>
              <w:ind w:left="0"/>
              <w:rPr>
                <w:b/>
                <w:bCs/>
              </w:rPr>
            </w:pPr>
            <w:r>
              <w:rPr>
                <w:rFonts w:ascii="Arial" w:hAnsi="Arial" w:cs="Arial"/>
                <w:b/>
                <w:bCs/>
              </w:rPr>
              <w:t>Action Plan:</w:t>
            </w:r>
          </w:p>
        </w:tc>
        <w:tc>
          <w:tcPr>
            <w:tcW w:w="6685"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E444CB" w:rsidP="00E444CB">
            <w:r>
              <w:t xml:space="preserve">There has been a </w:t>
            </w:r>
            <w:r>
              <w:t xml:space="preserve">slight decline in the number of requests received through self-serve channels which may be attributed to more people returning to Council offices and the re-opening to the public following closures linked to the government’s social restrictions. </w:t>
            </w:r>
          </w:p>
          <w:p w:rsidR="00E444CB" w:rsidP="00E444CB">
            <w:r>
              <w:t xml:space="preserve">A number </w:t>
            </w:r>
            <w:r>
              <w:t xml:space="preserve">of actions and initiatives will be put in place to further encourage channel shift to online self-services and to help the council meet its targets. These actions include: </w:t>
            </w:r>
          </w:p>
          <w:p w:rsidR="00E444CB" w:rsidRPr="00866240" w:rsidP="00E444CB">
            <w:pPr>
              <w:pStyle w:val="ListParagraph"/>
              <w:numPr>
                <w:ilvl w:val="0"/>
                <w:numId w:val="30"/>
              </w:numPr>
              <w:spacing w:after="0" w:line="240" w:lineRule="auto"/>
              <w:contextualSpacing w:val="0"/>
            </w:pPr>
            <w:r>
              <w:t>A review of the digital self-serve channels will be undertaken to map the highest v</w:t>
            </w:r>
            <w:r>
              <w:t xml:space="preserve">olume processes and remove barriers that may prevent or discourage customers from completing a process online.  This should simplify the process and make it easier to transact with the council </w:t>
            </w:r>
            <w:r w:rsidRPr="001D3EB1">
              <w:t xml:space="preserve">digitally. </w:t>
            </w:r>
          </w:p>
          <w:p w:rsidR="00E444CB" w:rsidP="00E444CB">
            <w:pPr>
              <w:pStyle w:val="ListParagraph"/>
              <w:numPr>
                <w:ilvl w:val="0"/>
                <w:numId w:val="30"/>
              </w:numPr>
              <w:spacing w:after="0" w:line="240" w:lineRule="auto"/>
              <w:contextualSpacing w:val="0"/>
            </w:pPr>
            <w:r w:rsidRPr="00866240">
              <w:t>A communication programme will be rolled out to res</w:t>
            </w:r>
            <w:r w:rsidRPr="00866240">
              <w:t>idents and businesses to encourage digital take up and establish self-service as the contact channel of choice.</w:t>
            </w:r>
          </w:p>
          <w:p w:rsidR="00E444CB" w:rsidP="00E444CB">
            <w:pPr>
              <w:pStyle w:val="ListParagraph"/>
              <w:widowControl w:val="0"/>
              <w:numPr>
                <w:ilvl w:val="0"/>
                <w:numId w:val="30"/>
              </w:numPr>
              <w:outlineLvl w:val="0"/>
            </w:pPr>
            <w:r>
              <w:t>The delivery of digital skills programmes will support residents with the skills and confidence to use digital council services.</w:t>
            </w:r>
          </w:p>
        </w:tc>
      </w:tr>
    </w:tbl>
    <w:p w:rsidR="00E444CB" w:rsidP="00E444CB">
      <w:pPr>
        <w:spacing w:after="0" w:line="240" w:lineRule="auto"/>
        <w:contextualSpacing/>
        <w:rPr>
          <w:rFonts w:ascii="Arial" w:eastAsia="Calibri" w:hAnsi="Arial" w:cs="Arial"/>
        </w:rPr>
      </w:pPr>
    </w:p>
    <w:p w:rsidR="00E444CB" w:rsidP="00E444CB">
      <w:pPr>
        <w:spacing w:after="0" w:line="240" w:lineRule="auto"/>
        <w:contextualSpacing/>
        <w:rPr>
          <w:rFonts w:ascii="Arial" w:eastAsia="Calibri" w:hAnsi="Arial" w:cs="Arial"/>
        </w:rPr>
      </w:pPr>
      <w:r w:rsidRPr="00460D79">
        <w:rPr>
          <w:rFonts w:ascii="Arial" w:eastAsia="Calibri" w:hAnsi="Arial" w:cs="Arial"/>
        </w:rPr>
        <w:t>A full list o</w:t>
      </w:r>
      <w:r w:rsidRPr="00460D79">
        <w:rPr>
          <w:rFonts w:ascii="Arial" w:eastAsia="Calibri" w:hAnsi="Arial" w:cs="Arial"/>
        </w:rPr>
        <w:t>f the performance indicators is included in Appendix 1</w:t>
      </w:r>
    </w:p>
    <w:p w:rsidR="00E444CB" w:rsidP="00E444CB">
      <w:pPr>
        <w:spacing w:after="0" w:line="240" w:lineRule="auto"/>
        <w:contextualSpacing/>
        <w:rPr>
          <w:rFonts w:ascii="Arial" w:eastAsia="Calibri" w:hAnsi="Arial" w:cs="Arial"/>
        </w:rPr>
        <w:sectPr w:rsidSect="00E444CB">
          <w:pgSz w:w="11906" w:h="16838"/>
          <w:pgMar w:top="1440" w:right="1440" w:bottom="993" w:left="1440" w:header="708" w:footer="708" w:gutter="0"/>
          <w:cols w:space="708"/>
          <w:docGrid w:linePitch="360"/>
        </w:sectPr>
      </w:pPr>
      <w:r w:rsidRPr="00460D79">
        <w:rPr>
          <w:rFonts w:ascii="Arial" w:eastAsia="Calibri" w:hAnsi="Arial" w:cs="Arial"/>
        </w:rPr>
        <w:t>.</w:t>
      </w:r>
    </w:p>
    <w:tbl>
      <w:tblPr>
        <w:tblpPr w:leftFromText="180" w:rightFromText="180" w:vertAnchor="text" w:horzAnchor="margin" w:tblpXSpec="center" w:tblpY="-1064"/>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3084"/>
        <w:gridCol w:w="3087"/>
      </w:tblGrid>
      <w:tr w:rsidTr="00E444CB">
        <w:tblPrEx>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58"/>
        </w:trPr>
        <w:tc>
          <w:tcPr>
            <w:tcW w:w="9254" w:type="dxa"/>
            <w:gridSpan w:val="3"/>
            <w:tcBorders>
              <w:top w:val="nil"/>
              <w:left w:val="nil"/>
              <w:right w:val="nil"/>
            </w:tcBorders>
            <w:shd w:val="clear" w:color="auto" w:fill="auto"/>
          </w:tcPr>
          <w:p w:rsidR="00E444CB" w:rsidRPr="0077663E" w:rsidP="00E444CB">
            <w:pPr>
              <w:widowControl w:val="0"/>
              <w:spacing w:after="0" w:line="256" w:lineRule="auto"/>
              <w:ind w:firstLine="208"/>
              <w:contextualSpacing/>
              <w:outlineLvl w:val="0"/>
              <w:rPr>
                <w:rFonts w:ascii="Arial" w:eastAsia="Calibri" w:hAnsi="Arial" w:cs="Arial"/>
                <w:b/>
              </w:rPr>
            </w:pPr>
            <w:r w:rsidRPr="0077663E">
              <w:rPr>
                <w:rFonts w:ascii="Arial" w:eastAsia="Calibri" w:hAnsi="Arial" w:cs="Times New Roman"/>
              </w:rPr>
              <w:br w:type="page"/>
            </w:r>
            <w:bookmarkStart w:id="6" w:name="_Hlk54078121"/>
            <w:r w:rsidRPr="0077663E">
              <w:rPr>
                <w:rFonts w:ascii="Arial" w:eastAsia="Calibri" w:hAnsi="Arial" w:cs="Times New Roman"/>
                <w:noProof/>
              </w:rPr>
              <w:drawing>
                <wp:inline distT="0" distB="0" distL="0" distR="0">
                  <wp:extent cx="11430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27607" name="Picture 5"/>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11627" t="9941" r="18605" b="11696"/>
                          <a:stretch>
                            <a:fillRect/>
                          </a:stretch>
                        </pic:blipFill>
                        <pic:spPr bwMode="auto">
                          <a:xfrm>
                            <a:off x="0" y="0"/>
                            <a:ext cx="1143000" cy="1276350"/>
                          </a:xfrm>
                          <a:prstGeom prst="rect">
                            <a:avLst/>
                          </a:prstGeom>
                          <a:noFill/>
                          <a:ln>
                            <a:noFill/>
                          </a:ln>
                        </pic:spPr>
                      </pic:pic>
                    </a:graphicData>
                  </a:graphic>
                </wp:inline>
              </w:drawing>
            </w:r>
            <w:r w:rsidRPr="0077663E">
              <w:rPr>
                <w:rFonts w:ascii="Arial" w:eastAsia="Calibri" w:hAnsi="Arial" w:cs="Times New Roman"/>
                <w:noProof/>
              </w:rPr>
              <w:drawing>
                <wp:inline distT="0" distB="0" distL="0" distR="0">
                  <wp:extent cx="29241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964204" name="Picture 6"/>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924175" cy="971550"/>
                          </a:xfrm>
                          <a:prstGeom prst="rect">
                            <a:avLst/>
                          </a:prstGeom>
                          <a:noFill/>
                          <a:ln>
                            <a:noFill/>
                          </a:ln>
                        </pic:spPr>
                      </pic:pic>
                    </a:graphicData>
                  </a:graphic>
                </wp:inline>
              </w:drawing>
            </w:r>
          </w:p>
          <w:p w:rsidR="00E444CB" w:rsidRPr="0077663E" w:rsidP="00E444CB">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A PLACE WHERE:</w:t>
            </w:r>
          </w:p>
        </w:tc>
      </w:tr>
      <w:tr w:rsidTr="00E444CB">
        <w:tblPrEx>
          <w:tblW w:w="9254" w:type="dxa"/>
          <w:tblLook w:val="04A0"/>
        </w:tblPrEx>
        <w:trPr>
          <w:trHeight w:val="816"/>
        </w:trPr>
        <w:tc>
          <w:tcPr>
            <w:tcW w:w="3083" w:type="dxa"/>
            <w:tcBorders>
              <w:top w:val="single" w:sz="18" w:space="0" w:color="FFFFFF"/>
              <w:left w:val="single" w:sz="18" w:space="0" w:color="FFFFFF"/>
              <w:bottom w:val="single" w:sz="18" w:space="0" w:color="FFFFFF"/>
              <w:right w:val="single" w:sz="18" w:space="0" w:color="FFFFFF"/>
            </w:tcBorders>
            <w:shd w:val="clear" w:color="auto" w:fill="auto"/>
          </w:tcPr>
          <w:p w:rsidR="00E444CB" w:rsidRPr="0077663E" w:rsidP="00E444CB">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Residents have positive mental health</w:t>
            </w:r>
          </w:p>
        </w:tc>
        <w:tc>
          <w:tcPr>
            <w:tcW w:w="3084" w:type="dxa"/>
            <w:tcBorders>
              <w:top w:val="single" w:sz="18" w:space="0" w:color="FFFFFF"/>
              <w:left w:val="single" w:sz="18" w:space="0" w:color="FFFFFF"/>
              <w:bottom w:val="single" w:sz="18" w:space="0" w:color="FFFFFF"/>
              <w:right w:val="single" w:sz="18" w:space="0" w:color="FFFFFF"/>
            </w:tcBorders>
            <w:shd w:val="clear" w:color="auto" w:fill="auto"/>
          </w:tcPr>
          <w:p w:rsidR="00E444CB" w:rsidRPr="0077663E" w:rsidP="00E444CB">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People get involved and have a sense of belonging</w:t>
            </w:r>
          </w:p>
        </w:tc>
        <w:tc>
          <w:tcPr>
            <w:tcW w:w="3087" w:type="dxa"/>
            <w:tcBorders>
              <w:top w:val="single" w:sz="18" w:space="0" w:color="FFFFFF"/>
              <w:left w:val="single" w:sz="18" w:space="0" w:color="FFFFFF"/>
              <w:bottom w:val="single" w:sz="18" w:space="0" w:color="FFFFFF"/>
              <w:right w:val="single" w:sz="18" w:space="0" w:color="FFFFFF"/>
            </w:tcBorders>
            <w:shd w:val="clear" w:color="auto" w:fill="auto"/>
          </w:tcPr>
          <w:p w:rsidR="00E444CB" w:rsidRPr="0077663E" w:rsidP="00E444CB">
            <w:pPr>
              <w:widowControl w:val="0"/>
              <w:spacing w:after="0" w:line="256" w:lineRule="auto"/>
              <w:contextualSpacing/>
              <w:outlineLvl w:val="0"/>
              <w:rPr>
                <w:rFonts w:ascii="Arial" w:eastAsia="Calibri" w:hAnsi="Arial" w:cs="Arial"/>
                <w:b/>
                <w:color w:val="E3322D"/>
              </w:rPr>
            </w:pPr>
            <w:r w:rsidRPr="0077663E">
              <w:rPr>
                <w:rFonts w:ascii="Arial" w:eastAsia="Calibri" w:hAnsi="Arial" w:cs="Arial"/>
                <w:b/>
                <w:color w:val="E3322D"/>
              </w:rPr>
              <w:t>Communities can access services and support when they need them</w:t>
            </w:r>
          </w:p>
        </w:tc>
      </w:tr>
    </w:tbl>
    <w:p w:rsidR="00E444CB" w:rsidRPr="00460D79" w:rsidP="00E444CB">
      <w:pPr>
        <w:pStyle w:val="Heading2"/>
        <w:rPr>
          <w:rFonts w:asciiTheme="majorHAnsi" w:hAnsiTheme="majorHAnsi" w:cstheme="majorHAnsi"/>
          <w:sz w:val="22"/>
          <w:szCs w:val="22"/>
        </w:rPr>
      </w:pPr>
      <w:bookmarkEnd w:id="6"/>
      <w:r w:rsidRPr="00460D79">
        <w:rPr>
          <w:rFonts w:asciiTheme="majorHAnsi" w:hAnsiTheme="majorHAnsi" w:cstheme="majorHAnsi"/>
          <w:sz w:val="22"/>
          <w:szCs w:val="22"/>
        </w:rPr>
        <w:t>Achievements this quarter</w:t>
      </w:r>
    </w:p>
    <w:p w:rsidR="00E444CB" w:rsidRPr="00904F8B" w:rsidP="00E444CB">
      <w:pPr>
        <w:pStyle w:val="ListParagraph"/>
        <w:numPr>
          <w:ilvl w:val="0"/>
          <w:numId w:val="8"/>
        </w:numPr>
      </w:pPr>
      <w:r>
        <w:t xml:space="preserve">As part of the Council’s commitment to addressing mental health support for young people, a number of activities have been developed over the quarter to take forward practical support and establish sustainable networks. </w:t>
      </w:r>
      <w:bookmarkStart w:id="7" w:name="_Hlk96669411"/>
      <w:r>
        <w:t>Lancashire Youth Challenge have been</w:t>
      </w:r>
      <w:r>
        <w:t xml:space="preserve"> commissioned to </w:t>
      </w:r>
      <w:r w:rsidRPr="001A0634">
        <w:rPr>
          <w:rFonts w:cs="Arial"/>
          <w:iCs/>
        </w:rPr>
        <w:t xml:space="preserve">deliver a 24-week programme </w:t>
      </w:r>
      <w:r>
        <w:rPr>
          <w:rFonts w:cs="Arial"/>
          <w:iCs/>
        </w:rPr>
        <w:t xml:space="preserve">commencing in March 2022 </w:t>
      </w:r>
      <w:r w:rsidRPr="001A0634">
        <w:rPr>
          <w:rFonts w:cs="Arial"/>
          <w:iCs/>
        </w:rPr>
        <w:t>that focuses on raising</w:t>
      </w:r>
      <w:r>
        <w:rPr>
          <w:rFonts w:cs="Arial"/>
          <w:iCs/>
        </w:rPr>
        <w:t xml:space="preserve"> young peoples’</w:t>
      </w:r>
      <w:r w:rsidRPr="001A0634">
        <w:rPr>
          <w:rFonts w:cs="Arial"/>
          <w:iCs/>
        </w:rPr>
        <w:t xml:space="preserve"> aspirations, confidence building, and emotional resilience</w:t>
      </w:r>
      <w:r>
        <w:rPr>
          <w:rFonts w:cs="Arial"/>
          <w:iCs/>
        </w:rPr>
        <w:t xml:space="preserve"> </w:t>
      </w:r>
      <w:r w:rsidRPr="001A0634">
        <w:rPr>
          <w:rFonts w:cs="Arial"/>
          <w:iCs/>
        </w:rPr>
        <w:t>development</w:t>
      </w:r>
      <w:r>
        <w:rPr>
          <w:rFonts w:cs="Arial"/>
          <w:iCs/>
        </w:rPr>
        <w:t xml:space="preserve">. The course will accommodate up to 20 young people and will be accessed via </w:t>
      </w:r>
      <w:r>
        <w:rPr>
          <w:rFonts w:cs="Arial"/>
          <w:iCs/>
        </w:rPr>
        <w:t xml:space="preserve">referral from key youth stakeholders </w:t>
      </w:r>
      <w:bookmarkEnd w:id="7"/>
      <w:r>
        <w:rPr>
          <w:rFonts w:cs="Arial"/>
          <w:iCs/>
        </w:rPr>
        <w:t xml:space="preserve">(e.g. Schools, Sports Clubs, etc).  Following the success of the delivery of an accredited Mental Health First Aid (MHFA) course by Lancashire Mind to all council services that have regular contact with young people, a </w:t>
      </w:r>
      <w:r>
        <w:rPr>
          <w:rFonts w:cs="Arial"/>
          <w:iCs/>
        </w:rPr>
        <w:t xml:space="preserve">further training course is planned to be delivered in quarter four for wider community stakeholders including youth groups, schools, sports clubs and the police. The community stakeholders that undertake the MHFA course will be encouraged to come together </w:t>
      </w:r>
      <w:r>
        <w:rPr>
          <w:rFonts w:cs="Arial"/>
          <w:iCs/>
        </w:rPr>
        <w:t xml:space="preserve">as part of a local mental health forum, which will meet quarterly to share knowledge and experiences to support current and emerging mental health issues. </w:t>
      </w:r>
    </w:p>
    <w:p w:rsidR="00E444CB" w:rsidRPr="00904F8B" w:rsidP="00E444CB">
      <w:pPr>
        <w:pStyle w:val="ListParagraph"/>
        <w:ind w:left="360"/>
      </w:pPr>
    </w:p>
    <w:p w:rsidR="00E444CB" w:rsidP="00E444CB">
      <w:pPr>
        <w:pStyle w:val="ListParagraph"/>
        <w:numPr>
          <w:ilvl w:val="0"/>
          <w:numId w:val="8"/>
        </w:numPr>
      </w:pPr>
      <w:r>
        <w:t>The development of the Youth Council has progressed well including engaging with young people on th</w:t>
      </w:r>
      <w:r>
        <w:t xml:space="preserve">e design of the council and establishing the initial membership. In October, 20 local young people registered to take part with regular meetings scheduled every two or three weeks. The members have already identified a number of themes that they wished to </w:t>
      </w:r>
      <w:r>
        <w:t>focus on, which included knife crime, period poverty and armed forces veterans. As part of this early stage in establishing a Youth Council, the registered members have completed ‘Politics and Public Speaking’ training facilitated by Shout Out UK which aim</w:t>
      </w:r>
      <w:r>
        <w:t>s to support those members in developing their political literacy skills as well as increasing their confidence to take part in the Youth Council and debates. Based on the positive engagement and input from the members of the formative Youth Council, elect</w:t>
      </w:r>
      <w:r>
        <w:t xml:space="preserve">ed members will over the coming quarter agree the formal framework and structure of the Council and consider how the Youth Council engages in local decision making and the community. </w:t>
      </w:r>
    </w:p>
    <w:p w:rsidR="00E444CB" w:rsidP="00E444CB">
      <w:pPr>
        <w:pStyle w:val="ListParagraph"/>
      </w:pPr>
    </w:p>
    <w:p w:rsidR="00E444CB" w:rsidP="00E444CB">
      <w:pPr>
        <w:pStyle w:val="ListParagraph"/>
        <w:numPr>
          <w:ilvl w:val="0"/>
          <w:numId w:val="8"/>
        </w:numPr>
      </w:pPr>
      <w:r w:rsidRPr="007E1C72">
        <w:t xml:space="preserve">A </w:t>
      </w:r>
      <w:r>
        <w:t>review of the Community Hubs was presented to Cabinet in December 202</w:t>
      </w:r>
      <w:r>
        <w:t xml:space="preserve">1. The review provided a summary of key achievements over the past 12 months as well as a review of the Community Hub model and a survey to all members. The feedback from members was extremely positive: </w:t>
      </w:r>
    </w:p>
    <w:p w:rsidR="00E444CB" w:rsidRPr="00F45E89" w:rsidP="00E444CB">
      <w:pPr>
        <w:numPr>
          <w:ilvl w:val="0"/>
          <w:numId w:val="26"/>
        </w:numPr>
        <w:spacing w:after="0" w:line="240" w:lineRule="auto"/>
        <w:contextualSpacing/>
        <w:rPr>
          <w:rFonts w:ascii="Arial" w:eastAsia="Times New Roman" w:hAnsi="Arial" w:cs="Arial"/>
          <w:iCs/>
          <w:color w:val="000000"/>
          <w:szCs w:val="20"/>
        </w:rPr>
      </w:pPr>
      <w:r w:rsidRPr="00F45E89">
        <w:rPr>
          <w:rFonts w:ascii="Arial" w:eastAsia="Times New Roman" w:hAnsi="Arial" w:cs="Arial"/>
          <w:iCs/>
          <w:color w:val="000000"/>
          <w:szCs w:val="20"/>
        </w:rPr>
        <w:t>87% of members feel engaged in their Community Hub</w:t>
      </w:r>
    </w:p>
    <w:p w:rsidR="00E444CB" w:rsidRPr="00F45E89" w:rsidP="00E444CB">
      <w:pPr>
        <w:numPr>
          <w:ilvl w:val="0"/>
          <w:numId w:val="26"/>
        </w:numPr>
        <w:spacing w:after="0" w:line="240" w:lineRule="auto"/>
        <w:contextualSpacing/>
        <w:rPr>
          <w:rFonts w:ascii="Arial" w:eastAsia="Times New Roman" w:hAnsi="Arial" w:cs="Arial"/>
          <w:iCs/>
          <w:color w:val="000000"/>
          <w:szCs w:val="20"/>
        </w:rPr>
      </w:pPr>
      <w:r w:rsidRPr="00F45E89">
        <w:rPr>
          <w:rFonts w:ascii="Arial" w:eastAsia="Times New Roman" w:hAnsi="Arial" w:cs="Arial"/>
          <w:iCs/>
          <w:color w:val="000000"/>
          <w:szCs w:val="20"/>
        </w:rPr>
        <w:t>90% of members feel like they can influence decisions made within their Community Hub</w:t>
      </w:r>
    </w:p>
    <w:p w:rsidR="00E444CB" w:rsidRPr="00F45E89" w:rsidP="00E444CB">
      <w:pPr>
        <w:numPr>
          <w:ilvl w:val="0"/>
          <w:numId w:val="26"/>
        </w:numPr>
        <w:spacing w:after="0" w:line="240" w:lineRule="auto"/>
        <w:contextualSpacing/>
        <w:rPr>
          <w:rFonts w:ascii="Arial" w:eastAsia="Times New Roman" w:hAnsi="Arial" w:cs="Arial"/>
          <w:iCs/>
          <w:color w:val="000000"/>
          <w:szCs w:val="20"/>
        </w:rPr>
      </w:pPr>
      <w:r w:rsidRPr="00F45E89">
        <w:rPr>
          <w:rFonts w:ascii="Arial" w:eastAsia="Times New Roman" w:hAnsi="Arial" w:cs="Arial"/>
          <w:iCs/>
          <w:color w:val="000000"/>
          <w:szCs w:val="20"/>
        </w:rPr>
        <w:t>90% of members feel like that the decisions made within their community hub have a positive impact on their community</w:t>
      </w:r>
    </w:p>
    <w:p w:rsidR="00E444CB" w:rsidRPr="00F45E89" w:rsidP="00E444CB">
      <w:pPr>
        <w:numPr>
          <w:ilvl w:val="0"/>
          <w:numId w:val="26"/>
        </w:numPr>
        <w:spacing w:after="0" w:line="240" w:lineRule="auto"/>
        <w:contextualSpacing/>
        <w:rPr>
          <w:rFonts w:ascii="Arial" w:eastAsia="Times New Roman" w:hAnsi="Arial" w:cs="Arial"/>
          <w:iCs/>
          <w:color w:val="000000"/>
          <w:szCs w:val="20"/>
        </w:rPr>
      </w:pPr>
      <w:r w:rsidRPr="00F45E89">
        <w:rPr>
          <w:rFonts w:ascii="Arial" w:eastAsia="Times New Roman" w:hAnsi="Arial" w:cs="Arial"/>
          <w:iCs/>
          <w:color w:val="000000"/>
          <w:szCs w:val="20"/>
        </w:rPr>
        <w:t>93% agree have autonomy to identify and act on local</w:t>
      </w:r>
      <w:r w:rsidRPr="00F45E89">
        <w:rPr>
          <w:rFonts w:ascii="Arial" w:eastAsia="Times New Roman" w:hAnsi="Arial" w:cs="Arial"/>
          <w:iCs/>
          <w:color w:val="000000"/>
          <w:szCs w:val="20"/>
        </w:rPr>
        <w:t xml:space="preserve"> priorities</w:t>
      </w:r>
    </w:p>
    <w:p w:rsidR="00E444CB" w:rsidRPr="00F45E89" w:rsidP="00E444CB">
      <w:pPr>
        <w:numPr>
          <w:ilvl w:val="0"/>
          <w:numId w:val="26"/>
        </w:numPr>
        <w:spacing w:after="0" w:line="240" w:lineRule="auto"/>
        <w:contextualSpacing/>
        <w:rPr>
          <w:rFonts w:ascii="Arial" w:eastAsia="Times New Roman" w:hAnsi="Arial" w:cs="Arial"/>
          <w:iCs/>
          <w:color w:val="000000"/>
          <w:szCs w:val="20"/>
        </w:rPr>
      </w:pPr>
      <w:r w:rsidRPr="00F45E89">
        <w:rPr>
          <w:rFonts w:ascii="Arial" w:eastAsia="Times New Roman" w:hAnsi="Arial" w:cs="Arial"/>
          <w:iCs/>
          <w:color w:val="000000"/>
          <w:szCs w:val="20"/>
        </w:rPr>
        <w:t>93% feel supported by the Community Development team</w:t>
      </w:r>
    </w:p>
    <w:p w:rsidR="00E444CB" w:rsidP="00E444CB">
      <w:pPr>
        <w:pStyle w:val="ListParagraph"/>
        <w:ind w:left="360"/>
      </w:pPr>
    </w:p>
    <w:p w:rsidR="00E444CB" w:rsidP="00E444CB">
      <w:pPr>
        <w:pStyle w:val="ListParagraph"/>
        <w:numPr>
          <w:ilvl w:val="0"/>
          <w:numId w:val="8"/>
        </w:numPr>
      </w:pPr>
      <w:r w:rsidRPr="00F45E89">
        <w:t>Delivery of the hub action plans have moved forward with progress against a number of key projects within the action plan</w:t>
      </w:r>
      <w:r>
        <w:t xml:space="preserve"> including management of Moss Side community centre, disabled access improvements to the Eagle and Child Bowling Club, and an event to recognise the achievements of Friends Groups in Leyland and </w:t>
      </w:r>
      <w:r>
        <w:t>Farington</w:t>
      </w:r>
      <w:r>
        <w:t>.</w:t>
      </w:r>
    </w:p>
    <w:p w:rsidR="00E444CB" w:rsidP="00E444CB">
      <w:pPr>
        <w:pStyle w:val="ListParagraph"/>
        <w:ind w:left="360"/>
      </w:pPr>
    </w:p>
    <w:p w:rsidR="00E444CB" w:rsidP="00E444CB">
      <w:pPr>
        <w:pStyle w:val="ListParagraph"/>
        <w:numPr>
          <w:ilvl w:val="0"/>
          <w:numId w:val="8"/>
        </w:numPr>
        <w:spacing w:after="0" w:line="240" w:lineRule="auto"/>
        <w:rPr>
          <w:rFonts w:ascii="Arial" w:eastAsia="Calibri" w:hAnsi="Arial" w:cs="Times New Roman"/>
        </w:rPr>
      </w:pPr>
      <w:r w:rsidRPr="0077663E">
        <w:rPr>
          <w:rFonts w:ascii="Arial" w:eastAsia="Calibri" w:hAnsi="Arial" w:cs="Times New Roman"/>
        </w:rPr>
        <w:t xml:space="preserve">Of the three projects within this priority, </w:t>
      </w:r>
      <w:r>
        <w:rPr>
          <w:rFonts w:ascii="Arial" w:eastAsia="Calibri" w:hAnsi="Arial" w:cs="Times New Roman"/>
        </w:rPr>
        <w:t>all t</w:t>
      </w:r>
      <w:r>
        <w:rPr>
          <w:rFonts w:ascii="Arial" w:eastAsia="Calibri" w:hAnsi="Arial" w:cs="Times New Roman"/>
        </w:rPr>
        <w:t>hree are</w:t>
      </w:r>
      <w:r w:rsidRPr="0077663E">
        <w:rPr>
          <w:rFonts w:ascii="Arial" w:eastAsia="Calibri" w:hAnsi="Arial" w:cs="Times New Roman"/>
        </w:rPr>
        <w:t xml:space="preserve"> rated green. </w:t>
      </w:r>
    </w:p>
    <w:p w:rsidR="00E444CB" w:rsidP="00E444CB">
      <w:pPr>
        <w:pStyle w:val="ListParagraph"/>
        <w:spacing w:after="0" w:line="240" w:lineRule="auto"/>
        <w:ind w:left="360"/>
        <w:rPr>
          <w:rFonts w:ascii="Arial" w:eastAsia="Calibri" w:hAnsi="Arial" w:cs="Times New Roman"/>
        </w:rPr>
      </w:pPr>
    </w:p>
    <w:tbl>
      <w:tblPr>
        <w:tblW w:w="9896" w:type="dxa"/>
        <w:tblLook w:val="04A0"/>
      </w:tblPr>
      <w:tblGrid>
        <w:gridCol w:w="7824"/>
        <w:gridCol w:w="2072"/>
      </w:tblGrid>
      <w:tr w:rsidTr="00E444CB">
        <w:tblPrEx>
          <w:tblW w:w="9896" w:type="dxa"/>
          <w:tblLook w:val="04A0"/>
        </w:tblPrEx>
        <w:trPr>
          <w:trHeight w:val="65"/>
          <w:tblHeader/>
        </w:trPr>
        <w:tc>
          <w:tcPr>
            <w:tcW w:w="7824" w:type="dxa"/>
            <w:tcBorders>
              <w:top w:val="single" w:sz="4" w:space="0" w:color="auto"/>
              <w:left w:val="single" w:sz="4" w:space="0" w:color="auto"/>
              <w:right w:val="single" w:sz="4" w:space="0" w:color="auto"/>
            </w:tcBorders>
            <w:shd w:val="clear" w:color="auto" w:fill="BFBFBF"/>
            <w:vAlign w:val="center"/>
          </w:tcPr>
          <w:p w:rsidR="00E444CB" w:rsidRPr="0077663E" w:rsidP="00E444CB">
            <w:pPr>
              <w:spacing w:after="0" w:line="240" w:lineRule="auto"/>
              <w:rPr>
                <w:rFonts w:ascii="Arial" w:eastAsia="Times New Roman" w:hAnsi="Arial" w:cs="Times New Roman"/>
                <w:b/>
                <w:szCs w:val="20"/>
                <w:lang w:eastAsia="en-GB"/>
              </w:rPr>
            </w:pPr>
          </w:p>
        </w:tc>
        <w:tc>
          <w:tcPr>
            <w:tcW w:w="2072" w:type="dxa"/>
            <w:tcBorders>
              <w:top w:val="single" w:sz="4" w:space="0" w:color="auto"/>
              <w:left w:val="single" w:sz="4" w:space="0" w:color="auto"/>
              <w:right w:val="single" w:sz="4" w:space="0" w:color="auto"/>
            </w:tcBorders>
            <w:shd w:val="clear" w:color="auto" w:fill="BFBFBF"/>
            <w:vAlign w:val="center"/>
          </w:tcPr>
          <w:p w:rsidR="00E444CB" w:rsidRPr="0077663E" w:rsidP="00E444CB">
            <w:pPr>
              <w:spacing w:after="0" w:line="240" w:lineRule="auto"/>
              <w:jc w:val="center"/>
              <w:rPr>
                <w:rFonts w:ascii="Arial" w:eastAsia="Times New Roman" w:hAnsi="Arial" w:cs="Times New Roman"/>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Tr="00E444CB">
        <w:tblPrEx>
          <w:tblW w:w="9896" w:type="dxa"/>
          <w:tblLook w:val="04A0"/>
        </w:tblPrEx>
        <w:trPr>
          <w:trHeight w:val="528"/>
          <w:tblHeader/>
        </w:trPr>
        <w:tc>
          <w:tcPr>
            <w:tcW w:w="7824" w:type="dxa"/>
            <w:tcBorders>
              <w:left w:val="single" w:sz="4" w:space="0" w:color="auto"/>
              <w:bottom w:val="single" w:sz="4" w:space="0" w:color="auto"/>
              <w:right w:val="single" w:sz="4" w:space="0" w:color="auto"/>
            </w:tcBorders>
            <w:shd w:val="clear" w:color="auto" w:fill="BFBFBF"/>
            <w:vAlign w:val="center"/>
          </w:tcPr>
          <w:p w:rsidR="00E444CB" w:rsidRPr="0077663E" w:rsidP="00E444CB">
            <w:pPr>
              <w:spacing w:after="0" w:line="240" w:lineRule="auto"/>
              <w:rPr>
                <w:rFonts w:ascii="Arial" w:eastAsia="Times New Roman" w:hAnsi="Arial" w:cs="Arial"/>
                <w:b/>
                <w:szCs w:val="20"/>
                <w:lang w:eastAsia="en-GB"/>
              </w:rPr>
            </w:pPr>
            <w:r w:rsidRPr="0077663E">
              <w:rPr>
                <w:rFonts w:ascii="Arial" w:eastAsia="Times New Roman" w:hAnsi="Arial" w:cs="Arial"/>
                <w:b/>
                <w:szCs w:val="20"/>
                <w:lang w:eastAsia="en-GB"/>
              </w:rPr>
              <w:t>Projects</w:t>
            </w:r>
          </w:p>
        </w:tc>
        <w:tc>
          <w:tcPr>
            <w:tcW w:w="2072" w:type="dxa"/>
            <w:tcBorders>
              <w:left w:val="single" w:sz="4" w:space="0" w:color="auto"/>
              <w:bottom w:val="single" w:sz="4" w:space="0" w:color="auto"/>
              <w:right w:val="single" w:sz="4" w:space="0" w:color="auto"/>
            </w:tcBorders>
            <w:shd w:val="clear" w:color="auto" w:fill="BFBFBF"/>
            <w:vAlign w:val="center"/>
          </w:tcPr>
          <w:p w:rsidR="00E444CB" w:rsidRPr="0077663E" w:rsidP="00E444CB">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3</w:t>
            </w:r>
          </w:p>
          <w:p w:rsidR="00E444CB" w:rsidRPr="0077663E" w:rsidP="00E444CB">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Oct</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Dec</w:t>
            </w:r>
            <w:r w:rsidRPr="0077663E">
              <w:rPr>
                <w:rFonts w:ascii="Arial" w:eastAsia="Times New Roman" w:hAnsi="Arial" w:cs="Arial"/>
                <w:b/>
                <w:szCs w:val="20"/>
                <w:lang w:eastAsia="en-GB"/>
              </w:rPr>
              <w:t>)</w:t>
            </w:r>
          </w:p>
        </w:tc>
      </w:tr>
      <w:tr w:rsidTr="00E444CB">
        <w:tblPrEx>
          <w:tblW w:w="9896" w:type="dxa"/>
          <w:tblLook w:val="04A0"/>
        </w:tblPrEx>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77663E" w:rsidP="00E444CB">
            <w:pPr>
              <w:spacing w:after="0" w:line="240" w:lineRule="auto"/>
              <w:rPr>
                <w:rFonts w:ascii="Arial" w:eastAsia="Times New Roman" w:hAnsi="Arial" w:cs="Arial"/>
                <w:szCs w:val="20"/>
                <w:lang w:eastAsia="en-GB"/>
              </w:rPr>
            </w:pPr>
            <w:bookmarkStart w:id="8" w:name="_Hlk29305238"/>
            <w:r w:rsidRPr="0077663E">
              <w:rPr>
                <w:rFonts w:ascii="Arial" w:eastAsia="Calibri" w:hAnsi="Arial" w:cs="Times New Roman"/>
                <w:b/>
                <w:szCs w:val="20"/>
                <w:lang w:eastAsia="en-GB"/>
              </w:rPr>
              <w:t>Establish South Ribble Together Hubs</w:t>
            </w:r>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rsidR="00E444CB" w:rsidRPr="004877E7" w:rsidP="00E444CB">
            <w:pPr>
              <w:spacing w:after="0" w:line="240" w:lineRule="auto"/>
              <w:jc w:val="center"/>
              <w:rPr>
                <w:rFonts w:ascii="Arial" w:eastAsia="Times New Roman" w:hAnsi="Arial" w:cs="Arial"/>
                <w:b/>
                <w:bCs/>
                <w:noProof/>
                <w:color w:val="FFFFFF" w:themeColor="background1"/>
                <w:szCs w:val="20"/>
                <w:lang w:eastAsia="en-GB"/>
              </w:rPr>
            </w:pPr>
            <w:r w:rsidRPr="004877E7">
              <w:rPr>
                <w:rFonts w:ascii="Arial" w:eastAsia="Times New Roman" w:hAnsi="Arial" w:cs="Arial"/>
                <w:b/>
                <w:bCs/>
                <w:noProof/>
                <w:color w:val="FFFFFF" w:themeColor="background1"/>
                <w:szCs w:val="20"/>
                <w:lang w:eastAsia="en-GB"/>
              </w:rPr>
              <w:t>GREEN</w:t>
            </w:r>
          </w:p>
        </w:tc>
      </w:tr>
      <w:tr w:rsidTr="00E444CB">
        <w:tblPrEx>
          <w:tblW w:w="9896" w:type="dxa"/>
          <w:tblLook w:val="04A0"/>
        </w:tblPrEx>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77663E" w:rsidP="00E444CB">
            <w:pPr>
              <w:spacing w:after="0" w:line="240" w:lineRule="auto"/>
              <w:rPr>
                <w:rFonts w:ascii="Arial" w:eastAsia="Times New Roman" w:hAnsi="Arial" w:cs="Arial"/>
                <w:szCs w:val="20"/>
                <w:lang w:eastAsia="en-GB"/>
              </w:rPr>
            </w:pPr>
            <w:bookmarkStart w:id="9" w:name="_Hlk71724153"/>
            <w:r w:rsidRPr="0077663E">
              <w:rPr>
                <w:rFonts w:ascii="Arial" w:eastAsia="Calibri" w:hAnsi="Arial" w:cs="Times New Roman"/>
                <w:b/>
                <w:szCs w:val="20"/>
                <w:lang w:eastAsia="en-GB"/>
              </w:rPr>
              <w:t>Deliver a mental health support programme for young people</w:t>
            </w:r>
            <w:bookmarkEnd w:id="9"/>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rsidR="00E444CB" w:rsidRPr="004877E7" w:rsidP="00E444CB">
            <w:pPr>
              <w:spacing w:after="0" w:line="240" w:lineRule="auto"/>
              <w:jc w:val="center"/>
              <w:rPr>
                <w:rFonts w:ascii="Arial" w:eastAsia="Calibri" w:hAnsi="Arial" w:cs="Times New Roman"/>
                <w:b/>
                <w:bCs/>
                <w:color w:val="FFFFFF" w:themeColor="background1"/>
                <w:szCs w:val="20"/>
                <w:lang w:eastAsia="en-GB"/>
              </w:rPr>
            </w:pPr>
            <w:r w:rsidRPr="004877E7">
              <w:rPr>
                <w:rFonts w:ascii="Arial" w:eastAsia="Times New Roman" w:hAnsi="Arial" w:cs="Arial"/>
                <w:b/>
                <w:bCs/>
                <w:noProof/>
                <w:color w:val="FFFFFF" w:themeColor="background1"/>
                <w:szCs w:val="20"/>
                <w:lang w:eastAsia="en-GB"/>
              </w:rPr>
              <w:t>GREEN</w:t>
            </w:r>
          </w:p>
        </w:tc>
      </w:tr>
      <w:tr w:rsidTr="00E444CB">
        <w:tblPrEx>
          <w:tblW w:w="9896" w:type="dxa"/>
          <w:tblLook w:val="04A0"/>
        </w:tblPrEx>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77663E" w:rsidP="00E444CB">
            <w:pPr>
              <w:spacing w:after="0" w:line="240" w:lineRule="auto"/>
              <w:rPr>
                <w:rFonts w:ascii="Arial" w:eastAsia="Times New Roman" w:hAnsi="Arial" w:cs="Arial"/>
                <w:szCs w:val="20"/>
                <w:lang w:eastAsia="en-GB"/>
              </w:rPr>
            </w:pPr>
            <w:r w:rsidRPr="0077663E">
              <w:rPr>
                <w:rFonts w:ascii="Arial" w:eastAsia="Times New Roman" w:hAnsi="Arial" w:cs="Times New Roman"/>
                <w:b/>
                <w:bCs/>
                <w:szCs w:val="20"/>
                <w:lang w:eastAsia="en-GB"/>
              </w:rPr>
              <w:t>Establish a Youth Council</w:t>
            </w:r>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rsidR="00E444CB" w:rsidRPr="004877E7" w:rsidP="00E444CB">
            <w:pPr>
              <w:spacing w:after="0" w:line="240" w:lineRule="auto"/>
              <w:jc w:val="center"/>
              <w:rPr>
                <w:rFonts w:ascii="Arial" w:eastAsia="Times New Roman" w:hAnsi="Arial" w:cs="Arial"/>
                <w:b/>
                <w:bCs/>
                <w:noProof/>
                <w:color w:val="FFFFFF" w:themeColor="background1"/>
                <w:szCs w:val="20"/>
                <w:lang w:eastAsia="en-GB"/>
              </w:rPr>
            </w:pPr>
            <w:r w:rsidRPr="004877E7">
              <w:rPr>
                <w:rFonts w:ascii="Arial" w:eastAsia="Times New Roman" w:hAnsi="Arial" w:cs="Arial"/>
                <w:b/>
                <w:bCs/>
                <w:noProof/>
                <w:color w:val="FFFFFF" w:themeColor="background1"/>
                <w:szCs w:val="20"/>
                <w:lang w:eastAsia="en-GB"/>
              </w:rPr>
              <w:t>GREEN</w:t>
            </w:r>
          </w:p>
        </w:tc>
      </w:tr>
    </w:tbl>
    <w:p w:rsidR="00E444CB" w:rsidRPr="00460D79" w:rsidP="00E444CB">
      <w:pPr>
        <w:pStyle w:val="Heading2"/>
        <w:rPr>
          <w:rFonts w:asciiTheme="majorHAnsi" w:hAnsiTheme="majorHAnsi" w:cstheme="majorHAnsi"/>
          <w:sz w:val="22"/>
          <w:szCs w:val="22"/>
        </w:rPr>
      </w:pPr>
      <w:bookmarkEnd w:id="8"/>
      <w:r>
        <w:rPr>
          <w:rFonts w:asciiTheme="majorHAnsi" w:hAnsiTheme="majorHAnsi" w:cstheme="majorHAnsi"/>
          <w:sz w:val="22"/>
          <w:szCs w:val="22"/>
        </w:rPr>
        <w:t>K</w:t>
      </w:r>
      <w:r w:rsidRPr="00460D79">
        <w:rPr>
          <w:rFonts w:asciiTheme="majorHAnsi" w:hAnsiTheme="majorHAnsi" w:cstheme="majorHAnsi"/>
          <w:sz w:val="22"/>
          <w:szCs w:val="22"/>
        </w:rPr>
        <w:t>ey Performance Indicators</w:t>
      </w:r>
    </w:p>
    <w:p w:rsidR="00E444CB" w:rsidRPr="00EE3D37" w:rsidP="00E444CB">
      <w:pPr>
        <w:pStyle w:val="ListParagraph"/>
        <w:numPr>
          <w:ilvl w:val="0"/>
          <w:numId w:val="8"/>
        </w:numPr>
        <w:spacing w:after="0" w:line="240" w:lineRule="auto"/>
        <w:rPr>
          <w:rFonts w:ascii="Arial" w:eastAsia="Calibri" w:hAnsi="Arial" w:cs="Times New Roman"/>
        </w:rPr>
      </w:pPr>
      <w:r w:rsidRPr="00EE3D37">
        <w:rPr>
          <w:rFonts w:ascii="Arial" w:eastAsia="Calibri" w:hAnsi="Arial" w:cs="Times New Roman"/>
        </w:rPr>
        <w:t>Of the eight performance measures reported under this outcome, two are due to be reported this quarter. Both measures are be</w:t>
      </w:r>
      <w:r>
        <w:rPr>
          <w:rFonts w:ascii="Arial" w:eastAsia="Calibri" w:hAnsi="Arial" w:cs="Times New Roman"/>
        </w:rPr>
        <w:t>ing</w:t>
      </w:r>
      <w:r w:rsidRPr="00EE3D37">
        <w:rPr>
          <w:rFonts w:ascii="Arial" w:eastAsia="Calibri" w:hAnsi="Arial" w:cs="Times New Roman"/>
        </w:rPr>
        <w:t xml:space="preserve"> baselined. </w:t>
      </w:r>
    </w:p>
    <w:p w:rsidR="00E444CB" w:rsidRPr="002F4C9C" w:rsidP="00E444CB">
      <w:pPr>
        <w:spacing w:after="0" w:line="240" w:lineRule="auto"/>
        <w:rPr>
          <w:rFonts w:ascii="Arial" w:eastAsia="Calibri" w:hAnsi="Arial" w:cs="Times New Roman"/>
        </w:rPr>
      </w:pPr>
    </w:p>
    <w:p w:rsidR="00E444CB" w:rsidRPr="00425E23" w:rsidP="00E444CB">
      <w:pPr>
        <w:pStyle w:val="ListParagraph"/>
        <w:numPr>
          <w:ilvl w:val="0"/>
          <w:numId w:val="15"/>
        </w:numPr>
        <w:spacing w:after="0" w:line="240" w:lineRule="auto"/>
        <w:rPr>
          <w:rFonts w:ascii="Arial" w:eastAsia="Calibri" w:hAnsi="Arial" w:cs="Times New Roman"/>
        </w:rPr>
      </w:pPr>
      <w:r w:rsidRPr="00082DA8">
        <w:rPr>
          <w:rFonts w:ascii="Arial" w:eastAsia="Calibri" w:hAnsi="Arial" w:cs="Times New Roman"/>
        </w:rPr>
        <w:t>Number of residents benefiting from opportunities created by the communities</w:t>
      </w:r>
      <w:r>
        <w:rPr>
          <w:rFonts w:ascii="Arial" w:eastAsia="Calibri" w:hAnsi="Arial" w:cs="Times New Roman"/>
        </w:rPr>
        <w:t xml:space="preserve"> </w:t>
      </w:r>
      <w:r w:rsidRPr="00082DA8">
        <w:rPr>
          <w:rFonts w:ascii="Arial" w:eastAsia="Calibri" w:hAnsi="Arial" w:cs="Times New Roman"/>
        </w:rPr>
        <w:t>team</w:t>
      </w:r>
      <w:r>
        <w:rPr>
          <w:rFonts w:ascii="Arial" w:eastAsia="Calibri" w:hAnsi="Arial" w:cs="Times New Roman"/>
        </w:rPr>
        <w:t>,</w:t>
      </w:r>
    </w:p>
    <w:p w:rsidR="00E444CB" w:rsidP="00E444CB">
      <w:pPr>
        <w:pStyle w:val="ListParagraph"/>
        <w:numPr>
          <w:ilvl w:val="0"/>
          <w:numId w:val="15"/>
        </w:numPr>
        <w:spacing w:after="0" w:line="240" w:lineRule="auto"/>
        <w:rPr>
          <w:rFonts w:ascii="Arial" w:eastAsia="Calibri" w:hAnsi="Arial" w:cs="Times New Roman"/>
        </w:rPr>
      </w:pPr>
      <w:r w:rsidRPr="003F121D">
        <w:rPr>
          <w:rFonts w:ascii="Arial" w:eastAsia="Calibri" w:hAnsi="Arial" w:cs="Times New Roman"/>
        </w:rPr>
        <w:t>Number of meals provided to school age children through holiday hunger offer</w:t>
      </w:r>
      <w:r>
        <w:rPr>
          <w:rFonts w:ascii="Arial" w:eastAsia="Calibri" w:hAnsi="Arial" w:cs="Times New Roman"/>
        </w:rPr>
        <w:t>.</w:t>
      </w:r>
    </w:p>
    <w:p w:rsidR="00E444CB" w:rsidP="00E444CB">
      <w:pPr>
        <w:pStyle w:val="ListParagraph"/>
        <w:spacing w:after="0" w:line="240" w:lineRule="auto"/>
        <w:ind w:left="1440"/>
        <w:rPr>
          <w:rFonts w:ascii="Arial" w:eastAsia="Calibri" w:hAnsi="Arial" w:cs="Times New Roman"/>
        </w:rPr>
      </w:pPr>
    </w:p>
    <w:p w:rsidR="00E444CB" w:rsidP="00E444CB">
      <w:pPr>
        <w:pStyle w:val="ListParagraph"/>
        <w:spacing w:after="0" w:line="240" w:lineRule="auto"/>
        <w:ind w:left="1440"/>
        <w:rPr>
          <w:rFonts w:ascii="Arial" w:eastAsia="Calibri" w:hAnsi="Arial" w:cs="Times New Roman"/>
        </w:rPr>
      </w:pPr>
    </w:p>
    <w:p w:rsidR="00E444CB" w:rsidP="00E444CB">
      <w:pPr>
        <w:pStyle w:val="ListParagraph"/>
        <w:spacing w:after="0" w:line="240" w:lineRule="auto"/>
        <w:ind w:left="1440"/>
        <w:rPr>
          <w:rFonts w:ascii="Arial" w:eastAsia="Calibri" w:hAnsi="Arial" w:cs="Times New Roman"/>
        </w:rPr>
      </w:pPr>
    </w:p>
    <w:p w:rsidR="00E444CB" w:rsidP="00E444CB">
      <w:pPr>
        <w:pStyle w:val="ListParagraph"/>
        <w:spacing w:after="0" w:line="240" w:lineRule="auto"/>
        <w:ind w:left="1440"/>
        <w:rPr>
          <w:rFonts w:ascii="Arial" w:eastAsia="Calibri" w:hAnsi="Arial" w:cs="Times New Roman"/>
        </w:rPr>
        <w:sectPr w:rsidSect="00E444CB">
          <w:pgSz w:w="11906" w:h="16838"/>
          <w:pgMar w:top="1440" w:right="1440" w:bottom="1440" w:left="1440" w:header="708" w:footer="708" w:gutter="0"/>
          <w:cols w:space="708"/>
          <w:docGrid w:linePitch="360"/>
        </w:sectPr>
      </w:pPr>
    </w:p>
    <w:tbl>
      <w:tblPr>
        <w:tblpPr w:leftFromText="180" w:rightFromText="180" w:vertAnchor="text" w:horzAnchor="margin" w:tblpXSpec="center" w:tblpY="-1124"/>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3045"/>
        <w:gridCol w:w="3047"/>
      </w:tblGrid>
      <w:tr w:rsidTr="00E444CB">
        <w:tblPrEx>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520"/>
        </w:trPr>
        <w:tc>
          <w:tcPr>
            <w:tcW w:w="9136" w:type="dxa"/>
            <w:gridSpan w:val="3"/>
            <w:tcBorders>
              <w:top w:val="nil"/>
              <w:left w:val="nil"/>
              <w:right w:val="nil"/>
            </w:tcBorders>
            <w:shd w:val="clear" w:color="auto" w:fill="auto"/>
          </w:tcPr>
          <w:p w:rsidR="00E444CB" w:rsidRPr="003F121D" w:rsidP="00E444CB">
            <w:pPr>
              <w:widowControl w:val="0"/>
              <w:spacing w:after="0" w:line="256" w:lineRule="auto"/>
              <w:ind w:firstLine="208"/>
              <w:contextualSpacing/>
              <w:outlineLvl w:val="0"/>
              <w:rPr>
                <w:rFonts w:ascii="Arial" w:eastAsia="Calibri" w:hAnsi="Arial" w:cs="Arial"/>
                <w:b/>
                <w:color w:val="8B3781"/>
              </w:rPr>
            </w:pPr>
            <w:bookmarkStart w:id="10" w:name="_Hlk54078172"/>
            <w:r w:rsidRPr="003F121D">
              <w:rPr>
                <w:rFonts w:ascii="Arial" w:eastAsia="Calibri" w:hAnsi="Arial" w:cs="Times New Roman"/>
                <w:noProof/>
                <w:color w:val="8B3781"/>
              </w:rPr>
              <w:drawing>
                <wp:inline distT="0" distB="0" distL="0" distR="0">
                  <wp:extent cx="1219200"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0453" name="Picture 23"/>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rcRect l="13228" t="16986" r="10846" b="-13680"/>
                          <a:stretch>
                            <a:fillRect/>
                          </a:stretch>
                        </pic:blipFill>
                        <pic:spPr bwMode="auto">
                          <a:xfrm>
                            <a:off x="0" y="0"/>
                            <a:ext cx="1219200" cy="1543050"/>
                          </a:xfrm>
                          <a:prstGeom prst="rect">
                            <a:avLst/>
                          </a:prstGeom>
                          <a:noFill/>
                          <a:ln>
                            <a:noFill/>
                          </a:ln>
                        </pic:spPr>
                      </pic:pic>
                    </a:graphicData>
                  </a:graphic>
                </wp:inline>
              </w:drawing>
            </w:r>
            <w:r w:rsidRPr="003F121D">
              <w:rPr>
                <w:rFonts w:ascii="Arial" w:eastAsia="Calibri" w:hAnsi="Arial" w:cs="Times New Roman"/>
                <w:noProof/>
                <w:color w:val="8B3781"/>
              </w:rPr>
              <w:drawing>
                <wp:inline distT="0" distB="0" distL="0" distR="0">
                  <wp:extent cx="30670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174107" name="Picture 24"/>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67050" cy="1504950"/>
                          </a:xfrm>
                          <a:prstGeom prst="rect">
                            <a:avLst/>
                          </a:prstGeom>
                          <a:noFill/>
                          <a:ln>
                            <a:noFill/>
                          </a:ln>
                        </pic:spPr>
                      </pic:pic>
                    </a:graphicData>
                  </a:graphic>
                </wp:inline>
              </w:drawing>
            </w:r>
          </w:p>
          <w:p w:rsidR="00E444CB" w:rsidRPr="003F121D" w:rsidP="00E444CB">
            <w:pPr>
              <w:widowControl w:val="0"/>
              <w:spacing w:after="0" w:line="256" w:lineRule="auto"/>
              <w:contextualSpacing/>
              <w:outlineLvl w:val="0"/>
              <w:rPr>
                <w:rFonts w:ascii="Arial" w:eastAsia="Calibri" w:hAnsi="Arial" w:cs="Arial"/>
                <w:b/>
                <w:color w:val="8B3781"/>
              </w:rPr>
            </w:pPr>
          </w:p>
          <w:p w:rsidR="00E444CB" w:rsidRPr="003F121D" w:rsidP="00E444CB">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A COUNCIL THAT:</w:t>
            </w:r>
          </w:p>
        </w:tc>
      </w:tr>
      <w:tr w:rsidTr="00E444CB">
        <w:tblPrEx>
          <w:tblW w:w="9136" w:type="dxa"/>
          <w:tblLook w:val="04A0"/>
        </w:tblPrEx>
        <w:trPr>
          <w:trHeight w:val="705"/>
        </w:trPr>
        <w:tc>
          <w:tcPr>
            <w:tcW w:w="3044" w:type="dxa"/>
            <w:tcBorders>
              <w:top w:val="single" w:sz="18" w:space="0" w:color="FFFFFF"/>
              <w:left w:val="single" w:sz="18" w:space="0" w:color="FFFFFF"/>
              <w:bottom w:val="single" w:sz="18" w:space="0" w:color="FFFFFF"/>
              <w:right w:val="single" w:sz="18" w:space="0" w:color="FFFFFF"/>
            </w:tcBorders>
            <w:shd w:val="clear" w:color="auto" w:fill="auto"/>
          </w:tcPr>
          <w:p w:rsidR="00E444CB" w:rsidRPr="003F121D" w:rsidP="00E444CB">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Increases access to training and jobs</w:t>
            </w:r>
          </w:p>
        </w:tc>
        <w:tc>
          <w:tcPr>
            <w:tcW w:w="3045" w:type="dxa"/>
            <w:tcBorders>
              <w:top w:val="single" w:sz="18" w:space="0" w:color="FFFFFF"/>
              <w:left w:val="single" w:sz="18" w:space="0" w:color="FFFFFF"/>
              <w:bottom w:val="single" w:sz="18" w:space="0" w:color="FFFFFF"/>
              <w:right w:val="single" w:sz="18" w:space="0" w:color="FFFFFF"/>
            </w:tcBorders>
            <w:shd w:val="clear" w:color="auto" w:fill="auto"/>
          </w:tcPr>
          <w:p w:rsidR="00E444CB" w:rsidRPr="003F121D" w:rsidP="00E444CB">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Grows and supports sustainable businesses</w:t>
            </w:r>
          </w:p>
        </w:tc>
        <w:tc>
          <w:tcPr>
            <w:tcW w:w="3047" w:type="dxa"/>
            <w:tcBorders>
              <w:top w:val="single" w:sz="18" w:space="0" w:color="FFFFFF"/>
              <w:left w:val="single" w:sz="18" w:space="0" w:color="FFFFFF"/>
              <w:bottom w:val="single" w:sz="18" w:space="0" w:color="FFFFFF"/>
              <w:right w:val="single" w:sz="18" w:space="0" w:color="FFFFFF"/>
            </w:tcBorders>
            <w:shd w:val="clear" w:color="auto" w:fill="auto"/>
          </w:tcPr>
          <w:p w:rsidR="00E444CB" w:rsidRPr="003F121D" w:rsidP="00E444CB">
            <w:pPr>
              <w:widowControl w:val="0"/>
              <w:spacing w:after="0" w:line="256" w:lineRule="auto"/>
              <w:contextualSpacing/>
              <w:outlineLvl w:val="0"/>
              <w:rPr>
                <w:rFonts w:ascii="Arial" w:eastAsia="Calibri" w:hAnsi="Arial" w:cs="Arial"/>
                <w:b/>
                <w:color w:val="8B3781"/>
              </w:rPr>
            </w:pPr>
            <w:r w:rsidRPr="003F121D">
              <w:rPr>
                <w:rFonts w:ascii="Arial" w:eastAsia="Calibri" w:hAnsi="Arial" w:cs="Arial"/>
                <w:b/>
                <w:color w:val="8B3781"/>
              </w:rPr>
              <w:t>Invests in improving the borough</w:t>
            </w:r>
          </w:p>
        </w:tc>
      </w:tr>
    </w:tbl>
    <w:p w:rsidR="00E444CB" w:rsidRPr="00460D79" w:rsidP="00E444CB">
      <w:pPr>
        <w:pStyle w:val="Heading2"/>
        <w:rPr>
          <w:rFonts w:asciiTheme="majorHAnsi" w:hAnsiTheme="majorHAnsi" w:cstheme="majorHAnsi"/>
          <w:sz w:val="22"/>
          <w:szCs w:val="22"/>
        </w:rPr>
      </w:pPr>
      <w:bookmarkEnd w:id="10"/>
      <w:r w:rsidRPr="00460D79">
        <w:rPr>
          <w:rFonts w:asciiTheme="majorHAnsi" w:hAnsiTheme="majorHAnsi" w:cstheme="majorHAnsi"/>
          <w:sz w:val="22"/>
          <w:szCs w:val="22"/>
        </w:rPr>
        <w:t>Achievements this quarter</w:t>
      </w:r>
    </w:p>
    <w:p w:rsidR="00E444CB" w:rsidRPr="00716A46" w:rsidP="00E444CB">
      <w:pPr>
        <w:pStyle w:val="ListParagraph"/>
        <w:numPr>
          <w:ilvl w:val="0"/>
          <w:numId w:val="8"/>
        </w:numPr>
        <w:spacing w:after="0" w:line="240" w:lineRule="auto"/>
        <w:rPr>
          <w:rFonts w:cs="Arial"/>
          <w:iCs/>
          <w:color w:val="FF0000"/>
        </w:rPr>
      </w:pPr>
      <w:r w:rsidRPr="000376D6">
        <w:rPr>
          <w:rFonts w:cs="Arial"/>
          <w:iCs/>
        </w:rPr>
        <w:t xml:space="preserve">The Community Wealth Building programme has made good progress in the quarter with </w:t>
      </w:r>
      <w:r w:rsidRPr="00E94093">
        <w:rPr>
          <w:rFonts w:cs="Arial"/>
          <w:iCs/>
        </w:rPr>
        <w:t xml:space="preserve">the Social Value Portal now operational </w:t>
      </w:r>
      <w:r w:rsidRPr="008658C7">
        <w:rPr>
          <w:rFonts w:cs="Arial"/>
          <w:iCs/>
        </w:rPr>
        <w:t>enabling the Council to</w:t>
      </w:r>
      <w:r w:rsidRPr="005325B9">
        <w:rPr>
          <w:rFonts w:cs="Arial"/>
          <w:iCs/>
        </w:rPr>
        <w:t xml:space="preserve"> measure the council’s procurement outcomes and the benefits to the community</w:t>
      </w:r>
      <w:r w:rsidRPr="000376D6">
        <w:rPr>
          <w:iCs/>
        </w:rPr>
        <w:t>. As part of the ongoing process to embed and develop the Council’s approach to wealth building, a number of internal activities have been completed</w:t>
      </w:r>
      <w:r>
        <w:rPr>
          <w:iCs/>
        </w:rPr>
        <w:t xml:space="preserve"> </w:t>
      </w:r>
      <w:r w:rsidRPr="000376D6">
        <w:rPr>
          <w:iCs/>
        </w:rPr>
        <w:t>to engage and train officers i</w:t>
      </w:r>
      <w:r w:rsidRPr="000376D6">
        <w:rPr>
          <w:iCs/>
        </w:rPr>
        <w:t xml:space="preserve">n key principles and processes including training materials and an e-learning module. </w:t>
      </w:r>
      <w:r w:rsidRPr="000376D6">
        <w:rPr>
          <w:rFonts w:cs="Arial"/>
          <w:iCs/>
        </w:rPr>
        <w:t xml:space="preserve">Early research has been undertaken to develop the Social Value Toolkit, which is expected to be shared with stakeholders in quarter four. Next quarter a ‘Meet the Buyer’ </w:t>
      </w:r>
      <w:r w:rsidRPr="000376D6">
        <w:rPr>
          <w:rFonts w:cs="Arial"/>
          <w:iCs/>
        </w:rPr>
        <w:t xml:space="preserve">business engagement event for the Leyland Town Deal will provide an opportunity to promote Community Wealth Building and Social Value principles as part of the development. </w:t>
      </w:r>
    </w:p>
    <w:p w:rsidR="00E444CB" w:rsidRPr="000376D6" w:rsidP="00E444CB">
      <w:pPr>
        <w:pStyle w:val="ListParagraph"/>
        <w:spacing w:after="0" w:line="240" w:lineRule="auto"/>
        <w:ind w:left="360"/>
        <w:rPr>
          <w:rFonts w:cs="Arial"/>
          <w:iCs/>
        </w:rPr>
      </w:pPr>
    </w:p>
    <w:p w:rsidR="00E444CB" w:rsidRPr="0062446C" w:rsidP="00E444CB">
      <w:pPr>
        <w:pStyle w:val="ListParagraph"/>
        <w:numPr>
          <w:ilvl w:val="0"/>
          <w:numId w:val="8"/>
        </w:numPr>
        <w:spacing w:after="0" w:line="240" w:lineRule="auto"/>
        <w:rPr>
          <w:rFonts w:cs="Arial"/>
          <w:iCs/>
        </w:rPr>
      </w:pPr>
      <w:r>
        <w:rPr>
          <w:rFonts w:cs="Arial"/>
          <w:iCs/>
        </w:rPr>
        <w:t xml:space="preserve">The </w:t>
      </w:r>
      <w:r>
        <w:rPr>
          <w:rFonts w:cs="Arial"/>
          <w:iCs/>
        </w:rPr>
        <w:t>Covid</w:t>
      </w:r>
      <w:r>
        <w:rPr>
          <w:rFonts w:cs="Arial"/>
          <w:iCs/>
        </w:rPr>
        <w:t xml:space="preserve"> recovery support package for businesses provided within quarter three i</w:t>
      </w:r>
      <w:r>
        <w:rPr>
          <w:rFonts w:cs="Arial"/>
          <w:iCs/>
        </w:rPr>
        <w:t xml:space="preserve">ncluded an additional investment of £150,000 from the council to supplement the Additional Restriction Grant (ARG3) of £706k.  The main purpose of the grants has been to mitigate hardship or loss of income as a result of the pandemic, but grants have also </w:t>
      </w:r>
      <w:r>
        <w:rPr>
          <w:rFonts w:cs="Arial"/>
          <w:iCs/>
        </w:rPr>
        <w:t>been provided to support brining empty properties back in to use, training/retraining and start-up businesses. By the end of quarter three, the Council paid out grants to 223 applicants totalling £695k and to date (end of February 2022) a total of £861K ha</w:t>
      </w:r>
      <w:r>
        <w:rPr>
          <w:rFonts w:cs="Arial"/>
          <w:iCs/>
        </w:rPr>
        <w:t xml:space="preserve">s now been paid to local businesses.  The support package provided through the Council also includes addressing the impact of mental health, and 43 referrals have been made through to Lancashire Mind for access to wellbeing coaching. </w:t>
      </w:r>
    </w:p>
    <w:p w:rsidR="00E444CB" w:rsidRPr="004D6FF8" w:rsidP="00E444CB">
      <w:pPr>
        <w:pStyle w:val="ListParagraph"/>
        <w:spacing w:after="0" w:line="240" w:lineRule="auto"/>
        <w:ind w:left="360"/>
        <w:rPr>
          <w:rFonts w:cs="Arial"/>
          <w:iCs/>
        </w:rPr>
      </w:pPr>
    </w:p>
    <w:p w:rsidR="00E444CB" w:rsidP="00E444CB">
      <w:pPr>
        <w:pStyle w:val="ListParagraph"/>
        <w:numPr>
          <w:ilvl w:val="0"/>
          <w:numId w:val="8"/>
        </w:numPr>
        <w:spacing w:after="0" w:line="240" w:lineRule="auto"/>
        <w:rPr>
          <w:rFonts w:cs="Arial"/>
          <w:iCs/>
        </w:rPr>
      </w:pPr>
      <w:r w:rsidRPr="00F35C61">
        <w:rPr>
          <w:rFonts w:cs="Arial"/>
          <w:iCs/>
        </w:rPr>
        <w:t>The Leyland Town Dea</w:t>
      </w:r>
      <w:r w:rsidRPr="00F35C61">
        <w:rPr>
          <w:rFonts w:cs="Arial"/>
          <w:iCs/>
        </w:rPr>
        <w:t xml:space="preserve">l </w:t>
      </w:r>
      <w:r>
        <w:rPr>
          <w:rFonts w:cs="Arial"/>
          <w:iCs/>
        </w:rPr>
        <w:t>continues to progress</w:t>
      </w:r>
      <w:r w:rsidRPr="00F35C61">
        <w:rPr>
          <w:rFonts w:cs="Arial"/>
          <w:iCs/>
        </w:rPr>
        <w:t xml:space="preserve"> </w:t>
      </w:r>
      <w:r>
        <w:rPr>
          <w:rFonts w:cs="Arial"/>
          <w:iCs/>
        </w:rPr>
        <w:t>with the</w:t>
      </w:r>
      <w:r w:rsidRPr="00F35C61">
        <w:rPr>
          <w:rFonts w:cs="Arial"/>
          <w:iCs/>
        </w:rPr>
        <w:t xml:space="preserve"> development of the business case focusing on the three key</w:t>
      </w:r>
      <w:r>
        <w:rPr>
          <w:rFonts w:cs="Arial"/>
          <w:iCs/>
        </w:rPr>
        <w:t xml:space="preserve"> proposed</w:t>
      </w:r>
      <w:r w:rsidRPr="00F35C61">
        <w:rPr>
          <w:rFonts w:cs="Arial"/>
          <w:iCs/>
        </w:rPr>
        <w:t xml:space="preserve"> projects</w:t>
      </w:r>
      <w:r>
        <w:rPr>
          <w:rFonts w:cs="Arial"/>
          <w:iCs/>
        </w:rPr>
        <w:t xml:space="preserve">: </w:t>
      </w:r>
      <w:r w:rsidRPr="00F35C61">
        <w:rPr>
          <w:rFonts w:cs="Arial"/>
          <w:iCs/>
        </w:rPr>
        <w:t xml:space="preserve">Town Centre Transformation, Market Refurbishment and Base 2 Business Hub. The business case is </w:t>
      </w:r>
      <w:r>
        <w:rPr>
          <w:rFonts w:cs="Arial"/>
          <w:iCs/>
        </w:rPr>
        <w:t>due</w:t>
      </w:r>
      <w:r w:rsidRPr="00F35C61">
        <w:rPr>
          <w:rFonts w:cs="Arial"/>
          <w:iCs/>
        </w:rPr>
        <w:t xml:space="preserve"> to be submitted to the funding body by March 2</w:t>
      </w:r>
      <w:r w:rsidRPr="00F35C61">
        <w:rPr>
          <w:rFonts w:cs="Arial"/>
          <w:iCs/>
        </w:rPr>
        <w:t>022. Design development has also progressed with the RIBA Stage 2 design complete in December 2021. Consultations on the Stage 2 design were held with stakeholders in November and December at the Commercial Vehicle Museum and the Civic Centre.  The consult</w:t>
      </w:r>
      <w:r w:rsidRPr="00F35C61">
        <w:rPr>
          <w:rFonts w:cs="Arial"/>
          <w:iCs/>
        </w:rPr>
        <w:t>ation ended on the 3</w:t>
      </w:r>
      <w:r w:rsidRPr="001B64A6">
        <w:rPr>
          <w:rFonts w:cs="Arial"/>
          <w:iCs/>
          <w:vertAlign w:val="superscript"/>
        </w:rPr>
        <w:t>rd</w:t>
      </w:r>
      <w:r w:rsidRPr="00F35C61">
        <w:rPr>
          <w:rFonts w:cs="Arial"/>
          <w:iCs/>
        </w:rPr>
        <w:t xml:space="preserve"> December</w:t>
      </w:r>
      <w:r>
        <w:rPr>
          <w:rFonts w:cs="Arial"/>
          <w:iCs/>
        </w:rPr>
        <w:t xml:space="preserve"> 2021</w:t>
      </w:r>
      <w:r w:rsidRPr="00F35C61">
        <w:rPr>
          <w:rFonts w:cs="Arial"/>
          <w:iCs/>
        </w:rPr>
        <w:t xml:space="preserve"> </w:t>
      </w:r>
      <w:r>
        <w:rPr>
          <w:rFonts w:cs="Arial"/>
          <w:iCs/>
        </w:rPr>
        <w:t xml:space="preserve">receiving </w:t>
      </w:r>
      <w:r w:rsidRPr="00F35C61">
        <w:rPr>
          <w:rFonts w:cs="Arial"/>
          <w:iCs/>
        </w:rPr>
        <w:t>192 completed questionnaires</w:t>
      </w:r>
      <w:r>
        <w:rPr>
          <w:rFonts w:cs="Arial"/>
          <w:iCs/>
        </w:rPr>
        <w:t xml:space="preserve">. </w:t>
      </w:r>
      <w:r w:rsidRPr="00F35C61">
        <w:rPr>
          <w:rFonts w:cs="Arial"/>
          <w:iCs/>
        </w:rPr>
        <w:t>The stakeholders that took part in the consultations included market traders, internal Council staff, businesses and residents. Other stakeholders that have contributed to the dev</w:t>
      </w:r>
      <w:r w:rsidRPr="00F35C61">
        <w:rPr>
          <w:rFonts w:cs="Arial"/>
          <w:iCs/>
        </w:rPr>
        <w:t xml:space="preserve">elopment of the design include the Police and Lancashire County Council. </w:t>
      </w:r>
    </w:p>
    <w:p w:rsidR="00E444CB" w:rsidP="00E444CB">
      <w:pPr>
        <w:pStyle w:val="ListParagraph"/>
        <w:rPr>
          <w:rFonts w:cs="Arial"/>
          <w:iCs/>
        </w:rPr>
      </w:pPr>
    </w:p>
    <w:p w:rsidR="00E444CB" w:rsidP="00E444CB">
      <w:pPr>
        <w:pStyle w:val="ListParagraph"/>
        <w:rPr>
          <w:rFonts w:cs="Arial"/>
          <w:iCs/>
        </w:rPr>
      </w:pPr>
    </w:p>
    <w:p w:rsidR="00E444CB" w:rsidP="00E444CB">
      <w:pPr>
        <w:pStyle w:val="ListParagraph"/>
        <w:rPr>
          <w:rFonts w:cs="Arial"/>
          <w:iCs/>
        </w:rPr>
      </w:pPr>
    </w:p>
    <w:p w:rsidR="00E444CB" w:rsidP="00E444CB">
      <w:pPr>
        <w:pStyle w:val="ListParagraph"/>
        <w:rPr>
          <w:rFonts w:cs="Arial"/>
          <w:iCs/>
        </w:rPr>
      </w:pPr>
    </w:p>
    <w:p w:rsidR="00E444CB" w:rsidP="00E444CB">
      <w:pPr>
        <w:pStyle w:val="ListParagraph"/>
        <w:rPr>
          <w:rFonts w:cs="Arial"/>
          <w:iCs/>
        </w:rPr>
      </w:pPr>
    </w:p>
    <w:p w:rsidR="00E444CB" w:rsidP="00E444CB">
      <w:pPr>
        <w:pStyle w:val="ListParagraph"/>
        <w:rPr>
          <w:rFonts w:cs="Arial"/>
          <w:iCs/>
        </w:rPr>
      </w:pPr>
    </w:p>
    <w:p w:rsidR="00E444CB" w:rsidP="00E444CB">
      <w:pPr>
        <w:pStyle w:val="ListParagraph"/>
        <w:rPr>
          <w:rFonts w:cs="Arial"/>
          <w:iCs/>
        </w:rPr>
      </w:pPr>
    </w:p>
    <w:p w:rsidR="00E444CB" w:rsidRPr="00716A46" w:rsidP="00E444CB">
      <w:pPr>
        <w:pStyle w:val="ListParagraph"/>
        <w:rPr>
          <w:rFonts w:cs="Arial"/>
          <w:iCs/>
        </w:rPr>
      </w:pPr>
    </w:p>
    <w:p w:rsidR="00E444CB" w:rsidRPr="00EE3D37" w:rsidP="00E444CB">
      <w:pPr>
        <w:pStyle w:val="ListParagraph"/>
        <w:numPr>
          <w:ilvl w:val="0"/>
          <w:numId w:val="8"/>
        </w:numPr>
        <w:rPr>
          <w:rFonts w:cs="Arial"/>
          <w:iCs/>
        </w:rPr>
      </w:pPr>
      <w:r w:rsidRPr="00EE3D37">
        <w:rPr>
          <w:rFonts w:cs="Arial"/>
          <w:iCs/>
        </w:rPr>
        <w:t xml:space="preserve">Of the three projects within this priority, </w:t>
      </w:r>
      <w:r>
        <w:rPr>
          <w:rFonts w:cs="Arial"/>
          <w:iCs/>
        </w:rPr>
        <w:t>all three are</w:t>
      </w:r>
      <w:r w:rsidRPr="00EE3D37">
        <w:rPr>
          <w:rFonts w:cs="Arial"/>
          <w:iCs/>
        </w:rPr>
        <w:t xml:space="preserve"> rated green.</w:t>
      </w:r>
    </w:p>
    <w:tbl>
      <w:tblPr>
        <w:tblpPr w:leftFromText="180" w:rightFromText="180" w:vertAnchor="text" w:horzAnchor="margin" w:tblpY="169"/>
        <w:tblOverlap w:val="never"/>
        <w:tblW w:w="9909" w:type="dxa"/>
        <w:tblLook w:val="04A0"/>
      </w:tblPr>
      <w:tblGrid>
        <w:gridCol w:w="8217"/>
        <w:gridCol w:w="1692"/>
      </w:tblGrid>
      <w:tr w:rsidTr="00E444CB">
        <w:tblPrEx>
          <w:tblW w:w="9909" w:type="dxa"/>
          <w:tblLook w:val="04A0"/>
        </w:tblPrEx>
        <w:trPr>
          <w:trHeight w:val="334"/>
        </w:trPr>
        <w:tc>
          <w:tcPr>
            <w:tcW w:w="8217" w:type="dxa"/>
            <w:tcBorders>
              <w:top w:val="single" w:sz="4" w:space="0" w:color="auto"/>
              <w:left w:val="single" w:sz="4" w:space="0" w:color="auto"/>
              <w:right w:val="single" w:sz="4" w:space="0" w:color="auto"/>
            </w:tcBorders>
            <w:shd w:val="clear" w:color="auto" w:fill="BFBFBF"/>
            <w:vAlign w:val="center"/>
          </w:tcPr>
          <w:p w:rsidR="00E444CB" w:rsidRPr="003F121D" w:rsidP="00E444CB">
            <w:pPr>
              <w:spacing w:after="0" w:line="240" w:lineRule="auto"/>
              <w:rPr>
                <w:rFonts w:ascii="Arial" w:eastAsia="Times New Roman" w:hAnsi="Arial" w:cs="Arial"/>
                <w:b/>
                <w:szCs w:val="20"/>
                <w:lang w:eastAsia="en-GB"/>
              </w:rPr>
            </w:pPr>
          </w:p>
        </w:tc>
        <w:tc>
          <w:tcPr>
            <w:tcW w:w="1692" w:type="dxa"/>
            <w:tcBorders>
              <w:top w:val="single" w:sz="4" w:space="0" w:color="auto"/>
              <w:left w:val="single" w:sz="4" w:space="0" w:color="auto"/>
              <w:right w:val="single" w:sz="4" w:space="0" w:color="auto"/>
            </w:tcBorders>
            <w:shd w:val="clear" w:color="auto" w:fill="BFBFBF"/>
            <w:vAlign w:val="center"/>
          </w:tcPr>
          <w:p w:rsidR="00E444CB" w:rsidRPr="003F121D" w:rsidP="00E444CB">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Tr="00E444CB">
        <w:tblPrEx>
          <w:tblW w:w="9909" w:type="dxa"/>
          <w:tblLook w:val="04A0"/>
        </w:tblPrEx>
        <w:trPr>
          <w:trHeight w:val="497"/>
        </w:trPr>
        <w:tc>
          <w:tcPr>
            <w:tcW w:w="8217" w:type="dxa"/>
            <w:tcBorders>
              <w:left w:val="single" w:sz="4" w:space="0" w:color="auto"/>
              <w:bottom w:val="single" w:sz="4" w:space="0" w:color="auto"/>
              <w:right w:val="single" w:sz="4" w:space="0" w:color="auto"/>
            </w:tcBorders>
            <w:shd w:val="clear" w:color="auto" w:fill="BFBFBF"/>
            <w:vAlign w:val="center"/>
          </w:tcPr>
          <w:p w:rsidR="00E444CB" w:rsidRPr="003F121D" w:rsidP="00E444CB">
            <w:pPr>
              <w:spacing w:after="0" w:line="240" w:lineRule="auto"/>
              <w:rPr>
                <w:rFonts w:ascii="Arial" w:eastAsia="Times New Roman" w:hAnsi="Arial" w:cs="Arial"/>
                <w:b/>
                <w:szCs w:val="20"/>
                <w:lang w:eastAsia="en-GB"/>
              </w:rPr>
            </w:pPr>
            <w:r w:rsidRPr="003F121D">
              <w:rPr>
                <w:rFonts w:ascii="Arial" w:eastAsia="Times New Roman" w:hAnsi="Arial" w:cs="Arial"/>
                <w:b/>
                <w:szCs w:val="20"/>
                <w:lang w:eastAsia="en-GB"/>
              </w:rPr>
              <w:t>Projects</w:t>
            </w:r>
          </w:p>
        </w:tc>
        <w:tc>
          <w:tcPr>
            <w:tcW w:w="1692" w:type="dxa"/>
            <w:tcBorders>
              <w:left w:val="single" w:sz="4" w:space="0" w:color="auto"/>
              <w:bottom w:val="single" w:sz="4" w:space="0" w:color="auto"/>
              <w:right w:val="single" w:sz="4" w:space="0" w:color="auto"/>
            </w:tcBorders>
            <w:shd w:val="clear" w:color="auto" w:fill="BFBFBF"/>
            <w:vAlign w:val="center"/>
          </w:tcPr>
          <w:p w:rsidR="00E444CB" w:rsidRPr="0077663E" w:rsidP="00E444CB">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3</w:t>
            </w:r>
          </w:p>
          <w:p w:rsidR="00E444CB" w:rsidRPr="003F121D" w:rsidP="00E444CB">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Oct</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Dec</w:t>
            </w:r>
            <w:r w:rsidRPr="0077663E">
              <w:rPr>
                <w:rFonts w:ascii="Arial" w:eastAsia="Times New Roman" w:hAnsi="Arial" w:cs="Arial"/>
                <w:b/>
                <w:szCs w:val="20"/>
                <w:lang w:eastAsia="en-GB"/>
              </w:rPr>
              <w:t>)</w:t>
            </w:r>
          </w:p>
        </w:tc>
      </w:tr>
      <w:tr w:rsidTr="00E444CB">
        <w:tblPrEx>
          <w:tblW w:w="9909" w:type="dxa"/>
          <w:tblLook w:val="04A0"/>
        </w:tblPrEx>
        <w:trPr>
          <w:trHeight w:val="497"/>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3F121D" w:rsidP="00E444CB">
            <w:pPr>
              <w:spacing w:after="0" w:line="240" w:lineRule="auto"/>
              <w:rPr>
                <w:rFonts w:ascii="Arial" w:eastAsia="Times New Roman" w:hAnsi="Arial" w:cs="Arial"/>
                <w:szCs w:val="20"/>
                <w:lang w:eastAsia="en-GB"/>
              </w:rPr>
            </w:pPr>
            <w:bookmarkStart w:id="11" w:name="_Hlk70519343"/>
            <w:r w:rsidRPr="003F121D">
              <w:rPr>
                <w:rFonts w:ascii="Arial" w:eastAsia="Times New Roman" w:hAnsi="Arial" w:cs="Times New Roman"/>
                <w:b/>
                <w:bCs/>
                <w:szCs w:val="20"/>
                <w:lang w:eastAsia="en-GB"/>
              </w:rPr>
              <w:t>Implement the community wealth building action plan</w:t>
            </w:r>
            <w:bookmarkEnd w:id="11"/>
          </w:p>
        </w:tc>
        <w:tc>
          <w:tcPr>
            <w:tcW w:w="1692" w:type="dxa"/>
            <w:tcBorders>
              <w:top w:val="single" w:sz="4" w:space="0" w:color="auto"/>
              <w:left w:val="single" w:sz="4" w:space="0" w:color="auto"/>
              <w:bottom w:val="single" w:sz="4" w:space="0" w:color="auto"/>
              <w:right w:val="single" w:sz="4" w:space="0" w:color="auto"/>
            </w:tcBorders>
            <w:shd w:val="clear" w:color="auto" w:fill="92D050"/>
            <w:vAlign w:val="center"/>
          </w:tcPr>
          <w:p w:rsidR="00E444CB" w:rsidRPr="00860FD9" w:rsidP="00E444CB">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Tr="00E444CB">
        <w:tblPrEx>
          <w:tblW w:w="9909" w:type="dxa"/>
          <w:tblLook w:val="04A0"/>
        </w:tblPrEx>
        <w:trPr>
          <w:trHeight w:val="497"/>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3F121D" w:rsidP="00E444CB">
            <w:pPr>
              <w:widowControl w:val="0"/>
              <w:spacing w:after="0" w:line="240" w:lineRule="auto"/>
              <w:rPr>
                <w:rFonts w:ascii="Arial" w:eastAsia="Times New Roman" w:hAnsi="Arial" w:cs="Times New Roman"/>
                <w:b/>
                <w:bCs/>
                <w:szCs w:val="20"/>
                <w:lang w:eastAsia="en-GB"/>
              </w:rPr>
            </w:pPr>
            <w:r w:rsidRPr="003F121D">
              <w:rPr>
                <w:rFonts w:ascii="Arial" w:eastAsia="Times New Roman" w:hAnsi="Arial" w:cs="Times New Roman"/>
                <w:b/>
                <w:bCs/>
                <w:szCs w:val="20"/>
                <w:lang w:eastAsia="en-GB"/>
              </w:rPr>
              <w:t>Establish a business support programme</w:t>
            </w:r>
          </w:p>
        </w:tc>
        <w:tc>
          <w:tcPr>
            <w:tcW w:w="1692" w:type="dxa"/>
            <w:tcBorders>
              <w:top w:val="single" w:sz="4" w:space="0" w:color="auto"/>
              <w:left w:val="single" w:sz="4" w:space="0" w:color="auto"/>
              <w:bottom w:val="single" w:sz="4" w:space="0" w:color="auto"/>
              <w:right w:val="single" w:sz="4" w:space="0" w:color="auto"/>
            </w:tcBorders>
            <w:shd w:val="clear" w:color="auto" w:fill="92D050"/>
            <w:vAlign w:val="center"/>
          </w:tcPr>
          <w:p w:rsidR="00E444CB" w:rsidRPr="009F1664" w:rsidP="00E444CB">
            <w:pPr>
              <w:spacing w:after="0" w:line="240" w:lineRule="auto"/>
              <w:jc w:val="center"/>
              <w:rPr>
                <w:rFonts w:ascii="Arial" w:eastAsia="Times New Roman" w:hAnsi="Arial" w:cs="Arial"/>
                <w:b/>
                <w:bCs/>
                <w:noProof/>
                <w:color w:val="FFFFFF" w:themeColor="background1"/>
                <w:szCs w:val="20"/>
                <w:lang w:eastAsia="en-GB"/>
              </w:rPr>
            </w:pPr>
            <w:r w:rsidRPr="009F1664">
              <w:rPr>
                <w:rFonts w:ascii="Arial" w:eastAsia="Times New Roman" w:hAnsi="Arial" w:cs="Arial"/>
                <w:b/>
                <w:bCs/>
                <w:noProof/>
                <w:color w:val="FFFFFF" w:themeColor="background1"/>
                <w:szCs w:val="20"/>
                <w:lang w:eastAsia="en-GB"/>
              </w:rPr>
              <w:t xml:space="preserve">GREEN </w:t>
            </w:r>
          </w:p>
        </w:tc>
      </w:tr>
      <w:tr w:rsidTr="00E444CB">
        <w:tblPrEx>
          <w:tblW w:w="9909" w:type="dxa"/>
          <w:tblLook w:val="04A0"/>
        </w:tblPrEx>
        <w:trPr>
          <w:trHeight w:val="497"/>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3F121D" w:rsidP="00E444CB">
            <w:pPr>
              <w:widowControl w:val="0"/>
              <w:spacing w:after="0" w:line="240" w:lineRule="auto"/>
              <w:rPr>
                <w:rFonts w:ascii="Arial" w:eastAsia="Times New Roman" w:hAnsi="Arial" w:cs="Times New Roman"/>
                <w:b/>
                <w:bCs/>
                <w:szCs w:val="20"/>
                <w:lang w:eastAsia="en-GB"/>
              </w:rPr>
            </w:pPr>
            <w:r w:rsidRPr="003F121D">
              <w:rPr>
                <w:rFonts w:ascii="Arial" w:eastAsia="Times New Roman" w:hAnsi="Arial" w:cs="Times New Roman"/>
                <w:b/>
                <w:bCs/>
                <w:szCs w:val="20"/>
                <w:lang w:eastAsia="en-GB"/>
              </w:rPr>
              <w:t>Deliver year 1 of the Town Deal</w:t>
            </w:r>
          </w:p>
        </w:tc>
        <w:tc>
          <w:tcPr>
            <w:tcW w:w="1692" w:type="dxa"/>
            <w:tcBorders>
              <w:top w:val="single" w:sz="4" w:space="0" w:color="auto"/>
              <w:left w:val="single" w:sz="4" w:space="0" w:color="auto"/>
              <w:bottom w:val="single" w:sz="4" w:space="0" w:color="auto"/>
              <w:right w:val="single" w:sz="4" w:space="0" w:color="auto"/>
            </w:tcBorders>
            <w:shd w:val="clear" w:color="auto" w:fill="92D050"/>
            <w:vAlign w:val="center"/>
          </w:tcPr>
          <w:p w:rsidR="00E444CB" w:rsidRPr="00860FD9" w:rsidP="00E444CB">
            <w:pPr>
              <w:spacing w:after="0" w:line="240" w:lineRule="auto"/>
              <w:jc w:val="center"/>
              <w:rPr>
                <w:rFonts w:ascii="Arial" w:eastAsia="Times New Roman" w:hAnsi="Arial" w:cs="Arial"/>
                <w:b/>
                <w:bCs/>
                <w:noProof/>
                <w:color w:val="FFFFFF" w:themeColor="background1"/>
                <w:szCs w:val="20"/>
                <w:lang w:eastAsia="en-GB"/>
              </w:rPr>
            </w:pPr>
            <w:r w:rsidRPr="00860FD9">
              <w:rPr>
                <w:rFonts w:ascii="Arial" w:eastAsia="Times New Roman" w:hAnsi="Arial" w:cs="Arial"/>
                <w:b/>
                <w:bCs/>
                <w:noProof/>
                <w:color w:val="FFFFFF" w:themeColor="background1"/>
                <w:szCs w:val="20"/>
                <w:lang w:eastAsia="en-GB"/>
              </w:rPr>
              <w:t>GREEN</w:t>
            </w:r>
          </w:p>
        </w:tc>
      </w:tr>
    </w:tbl>
    <w:p w:rsidR="00E444CB" w:rsidP="00E444CB">
      <w:pPr>
        <w:pStyle w:val="Heading2"/>
        <w:rPr>
          <w:rFonts w:asciiTheme="majorHAnsi" w:hAnsiTheme="majorHAnsi" w:cstheme="majorHAnsi"/>
          <w:sz w:val="22"/>
          <w:szCs w:val="22"/>
        </w:rPr>
      </w:pPr>
    </w:p>
    <w:p w:rsidR="00E444CB" w:rsidRPr="00460D79" w:rsidP="00E444CB">
      <w:pPr>
        <w:pStyle w:val="Heading2"/>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ey Performance Indicators</w:t>
      </w:r>
    </w:p>
    <w:p w:rsidR="00E444CB" w:rsidP="00E444CB">
      <w:pPr>
        <w:pStyle w:val="ListParagraph"/>
        <w:numPr>
          <w:ilvl w:val="0"/>
          <w:numId w:val="8"/>
        </w:numPr>
        <w:spacing w:after="0" w:line="240" w:lineRule="auto"/>
        <w:rPr>
          <w:rFonts w:ascii="Arial" w:eastAsia="Calibri" w:hAnsi="Arial" w:cs="Times New Roman"/>
        </w:rPr>
      </w:pPr>
      <w:r w:rsidRPr="00826EB3">
        <w:rPr>
          <w:rFonts w:ascii="Arial" w:eastAsia="Calibri" w:hAnsi="Arial" w:cs="Times New Roman"/>
        </w:rPr>
        <w:t>Of the four performance measures reported under this priority,</w:t>
      </w:r>
      <w:r>
        <w:rPr>
          <w:rFonts w:ascii="Arial" w:eastAsia="Calibri" w:hAnsi="Arial" w:cs="Times New Roman"/>
        </w:rPr>
        <w:t xml:space="preserve"> one measure is </w:t>
      </w:r>
      <w:r w:rsidRPr="00493E90">
        <w:rPr>
          <w:rFonts w:ascii="Arial" w:eastAsia="Calibri" w:hAnsi="Arial" w:cs="Times New Roman"/>
        </w:rPr>
        <w:t>performing better than target</w:t>
      </w:r>
      <w:r>
        <w:rPr>
          <w:rFonts w:ascii="Arial" w:eastAsia="Calibri" w:hAnsi="Arial" w:cs="Times New Roman"/>
        </w:rPr>
        <w:t xml:space="preserve"> and one is performing</w:t>
      </w:r>
      <w:r w:rsidRPr="00275A78">
        <w:rPr>
          <w:rFonts w:ascii="Arial" w:eastAsia="Calibri" w:hAnsi="Arial" w:cs="Times New Roman"/>
        </w:rPr>
        <w:t xml:space="preserve"> </w:t>
      </w:r>
      <w:r w:rsidRPr="00493E90">
        <w:rPr>
          <w:rFonts w:ascii="Arial" w:eastAsia="Calibri" w:hAnsi="Arial" w:cs="Times New Roman"/>
        </w:rPr>
        <w:t xml:space="preserve">worse that target but within a 5% </w:t>
      </w:r>
      <w:r>
        <w:rPr>
          <w:rFonts w:ascii="Arial" w:eastAsia="Calibri" w:hAnsi="Arial" w:cs="Times New Roman"/>
        </w:rPr>
        <w:t>threshold.</w:t>
      </w:r>
    </w:p>
    <w:p w:rsidR="00E444CB" w:rsidP="00E444CB">
      <w:pPr>
        <w:pStyle w:val="ListParagraph"/>
        <w:spacing w:after="0" w:line="240" w:lineRule="auto"/>
        <w:ind w:left="360"/>
        <w:rPr>
          <w:rFonts w:ascii="Arial" w:eastAsia="Calibri" w:hAnsi="Arial" w:cs="Times New Roman"/>
        </w:rPr>
      </w:pPr>
    </w:p>
    <w:p w:rsidR="00E444CB" w:rsidP="0053102B">
      <w:pPr>
        <w:pStyle w:val="ListParagraph"/>
        <w:spacing w:after="0" w:line="240" w:lineRule="auto"/>
        <w:ind w:left="360"/>
        <w:rPr>
          <w:rFonts w:ascii="Arial" w:eastAsia="Calibri" w:hAnsi="Arial" w:cs="Times New Roman"/>
        </w:rPr>
      </w:pPr>
      <w:r>
        <w:rPr>
          <w:rFonts w:ascii="Arial" w:eastAsia="Calibri" w:hAnsi="Arial" w:cs="Times New Roman"/>
        </w:rPr>
        <w:t>The measure rated as on track is:</w:t>
      </w:r>
    </w:p>
    <w:p w:rsidR="00E444CB" w:rsidP="00E444CB">
      <w:pPr>
        <w:pStyle w:val="ListParagraph"/>
        <w:spacing w:after="0" w:line="240" w:lineRule="auto"/>
        <w:ind w:left="360"/>
        <w:rPr>
          <w:rFonts w:ascii="Arial" w:eastAsia="Calibri" w:hAnsi="Arial" w:cs="Times New Roman"/>
        </w:rPr>
      </w:pPr>
    </w:p>
    <w:p w:rsidR="00E444CB" w:rsidRPr="00E04AAA" w:rsidP="00E444CB">
      <w:pPr>
        <w:numPr>
          <w:ilvl w:val="0"/>
          <w:numId w:val="15"/>
        </w:numPr>
        <w:spacing w:after="0" w:line="240" w:lineRule="auto"/>
        <w:contextualSpacing/>
        <w:rPr>
          <w:rFonts w:ascii="Arial" w:eastAsia="Calibri" w:hAnsi="Arial" w:cs="Times New Roman"/>
        </w:rPr>
      </w:pPr>
      <w:r w:rsidRPr="00922885">
        <w:rPr>
          <w:rFonts w:eastAsia="Calibri"/>
        </w:rPr>
        <w:t>% 16 -17year olds not in education or training (NEET)</w:t>
      </w:r>
      <w:r>
        <w:rPr>
          <w:rFonts w:eastAsia="Calibri"/>
        </w:rPr>
        <w:t>.</w:t>
      </w:r>
    </w:p>
    <w:p w:rsidR="00E444CB" w:rsidRPr="00866240" w:rsidP="00E444CB">
      <w:pPr>
        <w:spacing w:after="0" w:line="240" w:lineRule="auto"/>
        <w:ind w:left="1440"/>
        <w:contextualSpacing/>
        <w:rPr>
          <w:rFonts w:eastAsia="Calibri"/>
        </w:rPr>
      </w:pPr>
    </w:p>
    <w:p w:rsidR="00E444CB" w:rsidRPr="00826EB3" w:rsidP="0053102B">
      <w:pPr>
        <w:pStyle w:val="ListParagraph"/>
        <w:spacing w:after="0" w:line="240" w:lineRule="auto"/>
        <w:ind w:left="360"/>
        <w:rPr>
          <w:rFonts w:ascii="Arial" w:eastAsia="Calibri" w:hAnsi="Arial" w:cs="Times New Roman"/>
        </w:rPr>
      </w:pPr>
      <w:r>
        <w:rPr>
          <w:rFonts w:ascii="Arial" w:eastAsia="Calibri" w:hAnsi="Arial" w:cs="Times New Roman"/>
        </w:rPr>
        <w:t xml:space="preserve">The measure rated as </w:t>
      </w:r>
      <w:r w:rsidRPr="00493E90">
        <w:rPr>
          <w:rFonts w:ascii="Arial" w:eastAsia="Calibri" w:hAnsi="Arial" w:cs="Times New Roman"/>
        </w:rPr>
        <w:t xml:space="preserve">worse that target but within a 5% </w:t>
      </w:r>
      <w:r>
        <w:rPr>
          <w:rFonts w:ascii="Arial" w:eastAsia="Calibri" w:hAnsi="Arial" w:cs="Times New Roman"/>
        </w:rPr>
        <w:t>threshold is:</w:t>
      </w:r>
    </w:p>
    <w:p w:rsidR="00E444CB" w:rsidRPr="00826EB3" w:rsidP="00E444CB">
      <w:pPr>
        <w:spacing w:after="0" w:line="240" w:lineRule="auto"/>
        <w:ind w:left="720"/>
        <w:contextualSpacing/>
        <w:rPr>
          <w:rFonts w:ascii="Arial" w:eastAsia="Calibri" w:hAnsi="Arial" w:cs="Times New Roman"/>
        </w:rPr>
      </w:pPr>
    </w:p>
    <w:p w:rsidR="00E444CB" w:rsidP="00E444CB">
      <w:pPr>
        <w:numPr>
          <w:ilvl w:val="0"/>
          <w:numId w:val="15"/>
        </w:numPr>
        <w:spacing w:after="0" w:line="240" w:lineRule="auto"/>
        <w:contextualSpacing/>
        <w:rPr>
          <w:rFonts w:eastAsia="Calibri"/>
        </w:rPr>
      </w:pPr>
      <w:r w:rsidRPr="00945011">
        <w:rPr>
          <w:rFonts w:eastAsia="Calibri"/>
        </w:rPr>
        <w:t xml:space="preserve">Overall </w:t>
      </w:r>
      <w:r w:rsidRPr="00945011">
        <w:rPr>
          <w:rFonts w:eastAsia="Calibri"/>
        </w:rPr>
        <w:t>employment rate greater than north west average</w:t>
      </w:r>
      <w:r>
        <w:rPr>
          <w:rFonts w:eastAsia="Calibri"/>
        </w:rPr>
        <w:t>.</w:t>
      </w:r>
    </w:p>
    <w:p w:rsidR="00E444CB" w:rsidP="00E444CB">
      <w:pPr>
        <w:spacing w:after="0" w:line="240" w:lineRule="auto"/>
        <w:contextualSpacing/>
        <w:rPr>
          <w:rFonts w:ascii="Arial" w:eastAsia="Calibri" w:hAnsi="Arial" w:cs="Arial"/>
        </w:rPr>
      </w:pPr>
    </w:p>
    <w:p w:rsidR="00E444CB" w:rsidP="00E444CB">
      <w:pPr>
        <w:spacing w:after="0" w:line="240" w:lineRule="auto"/>
        <w:contextualSpacing/>
        <w:rPr>
          <w:rFonts w:ascii="Arial" w:eastAsia="Calibri" w:hAnsi="Arial" w:cs="Arial"/>
        </w:rPr>
        <w:sectPr w:rsidSect="00E444CB">
          <w:pgSz w:w="11906" w:h="16838"/>
          <w:pgMar w:top="1440" w:right="1440" w:bottom="1440" w:left="1440" w:header="708" w:footer="708" w:gutter="0"/>
          <w:cols w:space="708"/>
          <w:docGrid w:linePitch="360"/>
        </w:sectPr>
      </w:pPr>
    </w:p>
    <w:p w:rsidR="00E444CB" w:rsidP="00E444CB">
      <w:pPr>
        <w:spacing w:after="0" w:line="240" w:lineRule="auto"/>
        <w:contextualSpacing/>
        <w:rPr>
          <w:rFonts w:ascii="Arial" w:eastAsia="Calibri" w:hAnsi="Arial" w:cs="Arial"/>
        </w:rPr>
      </w:pPr>
    </w:p>
    <w:tbl>
      <w:tblPr>
        <w:tblpPr w:leftFromText="180" w:rightFromText="180" w:vertAnchor="text" w:horzAnchor="margin" w:tblpXSpec="center" w:tblpY="-1094"/>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3041"/>
        <w:gridCol w:w="3044"/>
      </w:tblGrid>
      <w:tr w:rsidTr="00E444CB">
        <w:tblPrEx>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330"/>
        </w:trPr>
        <w:tc>
          <w:tcPr>
            <w:tcW w:w="9125" w:type="dxa"/>
            <w:gridSpan w:val="3"/>
            <w:tcBorders>
              <w:top w:val="nil"/>
              <w:left w:val="nil"/>
              <w:right w:val="nil"/>
            </w:tcBorders>
            <w:shd w:val="clear" w:color="auto" w:fill="auto"/>
          </w:tcPr>
          <w:p w:rsidR="00E444CB" w:rsidRPr="00D312F8" w:rsidP="00E444CB">
            <w:pPr>
              <w:widowControl w:val="0"/>
              <w:spacing w:after="0" w:line="256" w:lineRule="auto"/>
              <w:ind w:firstLine="208"/>
              <w:contextualSpacing/>
              <w:outlineLvl w:val="0"/>
              <w:rPr>
                <w:rFonts w:ascii="Arial" w:eastAsia="Calibri" w:hAnsi="Arial" w:cs="Arial"/>
                <w:b/>
              </w:rPr>
            </w:pPr>
            <w:bookmarkStart w:id="12" w:name="_Hlk54078399"/>
            <w:r w:rsidRPr="00D312F8">
              <w:rPr>
                <w:rFonts w:ascii="Arial" w:eastAsia="Calibri" w:hAnsi="Arial" w:cs="Times New Roman"/>
                <w:noProof/>
              </w:rPr>
              <w:drawing>
                <wp:anchor distT="0" distB="0" distL="114300" distR="114300" simplePos="0" relativeHeight="251659264" behindDoc="0" locked="0" layoutInCell="1" allowOverlap="1">
                  <wp:simplePos x="0" y="0"/>
                  <wp:positionH relativeFrom="column">
                    <wp:posOffset>-68324</wp:posOffset>
                  </wp:positionH>
                  <wp:positionV relativeFrom="paragraph">
                    <wp:posOffset>503</wp:posOffset>
                  </wp:positionV>
                  <wp:extent cx="1499361" cy="1187355"/>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83300" name="Picture 31"/>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rcRect l="14021" t="15692" r="6085" b="20744"/>
                          <a:stretch>
                            <a:fillRect/>
                          </a:stretch>
                        </pic:blipFill>
                        <pic:spPr bwMode="auto">
                          <a:xfrm>
                            <a:off x="0" y="0"/>
                            <a:ext cx="1499361" cy="1187355"/>
                          </a:xfrm>
                          <a:prstGeom prst="rect">
                            <a:avLst/>
                          </a:prstGeom>
                          <a:noFill/>
                          <a:ln>
                            <a:noFill/>
                          </a:ln>
                        </pic:spPr>
                      </pic:pic>
                    </a:graphicData>
                  </a:graphic>
                </wp:anchor>
              </w:drawing>
            </w:r>
            <w:r>
              <w:rPr>
                <w:rFonts w:ascii="Arial" w:eastAsia="Calibri" w:hAnsi="Arial" w:cs="Times New Roman"/>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93.6pt" o:oleicon="f" o:ole="">
                  <v:imagedata r:id="rId14" o:title=""/>
                </v:shape>
                <o:OLEObject Type="Embed" ProgID="PBrush" ShapeID="_x0000_i1025" DrawAspect="Content" ObjectID="_1708503364" r:id="rId15"/>
              </w:object>
            </w:r>
          </w:p>
          <w:p w:rsidR="00E444CB" w:rsidRPr="00D312F8" w:rsidP="00E444CB">
            <w:pPr>
              <w:widowControl w:val="0"/>
              <w:spacing w:after="0" w:line="256" w:lineRule="auto"/>
              <w:contextualSpacing/>
              <w:outlineLvl w:val="0"/>
              <w:rPr>
                <w:rFonts w:ascii="Arial" w:eastAsia="Calibri" w:hAnsi="Arial" w:cs="Arial"/>
                <w:b/>
                <w:color w:val="8BBD3B"/>
              </w:rPr>
            </w:pPr>
          </w:p>
          <w:p w:rsidR="00E444CB" w:rsidRPr="00D312F8" w:rsidP="00E444CB">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BOROUGH WITH:</w:t>
            </w:r>
          </w:p>
          <w:p w:rsidR="00E444CB" w:rsidRPr="00D312F8" w:rsidP="00E444CB">
            <w:pPr>
              <w:widowControl w:val="0"/>
              <w:spacing w:after="0" w:line="256" w:lineRule="auto"/>
              <w:contextualSpacing/>
              <w:outlineLvl w:val="0"/>
              <w:rPr>
                <w:rFonts w:ascii="Arial" w:eastAsia="Calibri" w:hAnsi="Arial" w:cs="Arial"/>
                <w:b/>
                <w:color w:val="8BBD3B"/>
              </w:rPr>
            </w:pPr>
          </w:p>
        </w:tc>
      </w:tr>
      <w:tr w:rsidTr="00E444CB">
        <w:tblPrEx>
          <w:tblW w:w="9125" w:type="dxa"/>
          <w:tblLook w:val="04A0"/>
        </w:tblPrEx>
        <w:trPr>
          <w:trHeight w:val="617"/>
        </w:trPr>
        <w:tc>
          <w:tcPr>
            <w:tcW w:w="3040" w:type="dxa"/>
            <w:tcBorders>
              <w:top w:val="single" w:sz="18" w:space="0" w:color="FFFFFF"/>
              <w:left w:val="single" w:sz="18" w:space="0" w:color="FFFFFF"/>
              <w:bottom w:val="single" w:sz="18" w:space="0" w:color="FFFFFF"/>
              <w:right w:val="single" w:sz="18" w:space="0" w:color="FFFFFF"/>
            </w:tcBorders>
            <w:shd w:val="clear" w:color="auto" w:fill="auto"/>
          </w:tcPr>
          <w:p w:rsidR="00E444CB" w:rsidRPr="00D312F8" w:rsidP="00E444CB">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decent, affordable housing</w:t>
            </w:r>
          </w:p>
        </w:tc>
        <w:tc>
          <w:tcPr>
            <w:tcW w:w="3041" w:type="dxa"/>
            <w:tcBorders>
              <w:top w:val="single" w:sz="18" w:space="0" w:color="FFFFFF"/>
              <w:left w:val="single" w:sz="18" w:space="0" w:color="FFFFFF"/>
              <w:bottom w:val="single" w:sz="18" w:space="0" w:color="FFFFFF"/>
              <w:right w:val="single" w:sz="18" w:space="0" w:color="FFFFFF"/>
            </w:tcBorders>
            <w:shd w:val="clear" w:color="auto" w:fill="auto"/>
          </w:tcPr>
          <w:p w:rsidR="00E444CB" w:rsidRPr="00D312F8" w:rsidP="00E444CB">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Commitment to protecting the local environment</w:t>
            </w:r>
          </w:p>
        </w:tc>
        <w:tc>
          <w:tcPr>
            <w:tcW w:w="3043" w:type="dxa"/>
            <w:tcBorders>
              <w:top w:val="single" w:sz="18" w:space="0" w:color="FFFFFF"/>
              <w:left w:val="single" w:sz="18" w:space="0" w:color="FFFFFF"/>
              <w:bottom w:val="single" w:sz="18" w:space="0" w:color="FFFFFF"/>
              <w:right w:val="single" w:sz="18" w:space="0" w:color="FFFFFF"/>
            </w:tcBorders>
            <w:shd w:val="clear" w:color="auto" w:fill="auto"/>
          </w:tcPr>
          <w:p w:rsidR="00E444CB" w:rsidRPr="00D312F8" w:rsidP="00E444CB">
            <w:pPr>
              <w:widowControl w:val="0"/>
              <w:spacing w:after="0" w:line="256" w:lineRule="auto"/>
              <w:contextualSpacing/>
              <w:outlineLvl w:val="0"/>
              <w:rPr>
                <w:rFonts w:ascii="Arial" w:eastAsia="Calibri" w:hAnsi="Arial" w:cs="Arial"/>
                <w:b/>
                <w:color w:val="8BBD3B"/>
              </w:rPr>
            </w:pPr>
            <w:r w:rsidRPr="00D312F8">
              <w:rPr>
                <w:rFonts w:ascii="Arial" w:eastAsia="Calibri" w:hAnsi="Arial" w:cs="Arial"/>
                <w:b/>
                <w:color w:val="8BBD3B"/>
              </w:rPr>
              <w:t>A choice of quality recreational activities</w:t>
            </w:r>
          </w:p>
        </w:tc>
      </w:tr>
    </w:tbl>
    <w:p w:rsidR="00E444CB" w:rsidRPr="00460D79" w:rsidP="00E444CB">
      <w:pPr>
        <w:pStyle w:val="Heading2"/>
        <w:rPr>
          <w:rFonts w:asciiTheme="majorHAnsi" w:hAnsiTheme="majorHAnsi" w:cstheme="majorHAnsi"/>
          <w:sz w:val="22"/>
          <w:szCs w:val="22"/>
        </w:rPr>
      </w:pPr>
      <w:bookmarkEnd w:id="12"/>
      <w:r w:rsidRPr="00460D79">
        <w:rPr>
          <w:rFonts w:asciiTheme="majorHAnsi" w:hAnsiTheme="majorHAnsi" w:cstheme="majorHAnsi"/>
          <w:sz w:val="22"/>
          <w:szCs w:val="22"/>
        </w:rPr>
        <w:t>Achievements this quarter</w:t>
      </w:r>
    </w:p>
    <w:p w:rsidR="00E444CB" w:rsidP="00E444CB">
      <w:pPr>
        <w:pStyle w:val="ListParagraph"/>
        <w:numPr>
          <w:ilvl w:val="0"/>
          <w:numId w:val="8"/>
        </w:numPr>
        <w:spacing w:after="0" w:line="240" w:lineRule="auto"/>
        <w:rPr>
          <w:rFonts w:cs="Arial"/>
          <w:iCs/>
        </w:rPr>
      </w:pPr>
      <w:r>
        <w:rPr>
          <w:rFonts w:cs="Arial"/>
          <w:iCs/>
        </w:rPr>
        <w:t xml:space="preserve">Improvements to the green infrastructure of the borough has moved forward with completion of the installation of </w:t>
      </w:r>
      <w:r w:rsidRPr="00F35C61">
        <w:rPr>
          <w:rFonts w:cs="Arial"/>
          <w:iCs/>
        </w:rPr>
        <w:t xml:space="preserve">four new </w:t>
      </w:r>
      <w:r>
        <w:rPr>
          <w:rFonts w:cs="Arial"/>
          <w:iCs/>
        </w:rPr>
        <w:t>electric vehicle charging points at Leyland, Bamber Bridge, Lostock Hall, and Penwortham. Growth in this are</w:t>
      </w:r>
      <w:r>
        <w:rPr>
          <w:rFonts w:cs="Arial"/>
          <w:iCs/>
        </w:rPr>
        <w:t>a enables residents to make choices on adopting new technologies and vehicles that will contribute to carbon reduction.  The Council’s website has been updated to provide information to residents on how they are able to potentially improve the energy effic</w:t>
      </w:r>
      <w:r>
        <w:rPr>
          <w:rFonts w:cs="Arial"/>
          <w:iCs/>
        </w:rPr>
        <w:t xml:space="preserve">iency of their property. The updates provide information on the energy efficiency ratings as well as details of schemes open to the public that they may be able to access </w:t>
      </w:r>
    </w:p>
    <w:p w:rsidR="00E444CB" w:rsidRPr="001B64A6" w:rsidP="00E444CB">
      <w:pPr>
        <w:pStyle w:val="ListParagraph"/>
        <w:spacing w:after="0" w:line="240" w:lineRule="auto"/>
        <w:ind w:left="360"/>
        <w:rPr>
          <w:rFonts w:ascii="Arial" w:eastAsia="Calibri" w:hAnsi="Arial" w:cs="Times New Roman"/>
          <w:color w:val="FF0000"/>
        </w:rPr>
      </w:pPr>
    </w:p>
    <w:p w:rsidR="00E444CB" w:rsidRPr="00BE1944" w:rsidP="00E444CB">
      <w:pPr>
        <w:pStyle w:val="ListParagraph"/>
        <w:numPr>
          <w:ilvl w:val="0"/>
          <w:numId w:val="8"/>
        </w:numPr>
        <w:spacing w:after="0" w:line="240" w:lineRule="auto"/>
        <w:rPr>
          <w:rFonts w:ascii="Arial" w:eastAsia="Calibri" w:hAnsi="Arial" w:cs="Times New Roman"/>
          <w:color w:val="FF0000"/>
        </w:rPr>
      </w:pPr>
      <w:r>
        <w:rPr>
          <w:rFonts w:cs="Arial"/>
          <w:iCs/>
        </w:rPr>
        <w:t>Access to affordable homes remains a priority and the Council’s two major schemes c</w:t>
      </w:r>
      <w:r>
        <w:rPr>
          <w:rFonts w:cs="Arial"/>
          <w:iCs/>
        </w:rPr>
        <w:t>ontinue to progress. A contractor has been appointed</w:t>
      </w:r>
      <w:r w:rsidRPr="00BE1944">
        <w:rPr>
          <w:rFonts w:cs="Arial"/>
          <w:iCs/>
        </w:rPr>
        <w:t xml:space="preserve"> to deliver the McKenzie Arms scheme</w:t>
      </w:r>
      <w:r>
        <w:rPr>
          <w:rFonts w:cs="Arial"/>
          <w:iCs/>
        </w:rPr>
        <w:t xml:space="preserve">, which is now in progress having </w:t>
      </w:r>
      <w:r w:rsidRPr="00BE1944">
        <w:rPr>
          <w:rFonts w:cs="Arial"/>
          <w:iCs/>
        </w:rPr>
        <w:t xml:space="preserve">secured investment from Homes England, totalling £675,000 (equating to £45,000 per unit). </w:t>
      </w:r>
      <w:r>
        <w:rPr>
          <w:rFonts w:cs="Arial"/>
          <w:iCs/>
        </w:rPr>
        <w:t>T</w:t>
      </w:r>
      <w:r w:rsidRPr="00BE1944">
        <w:rPr>
          <w:rFonts w:cs="Arial"/>
          <w:iCs/>
        </w:rPr>
        <w:t>he scheme will deliver 15 new quality affor</w:t>
      </w:r>
      <w:r w:rsidRPr="00BE1944">
        <w:rPr>
          <w:rFonts w:cs="Arial"/>
          <w:iCs/>
        </w:rPr>
        <w:t>dable homes in Bamber Bridge</w:t>
      </w:r>
      <w:r>
        <w:rPr>
          <w:rFonts w:cs="Arial"/>
          <w:iCs/>
        </w:rPr>
        <w:t>.</w:t>
      </w:r>
      <w:r w:rsidRPr="00BE1944">
        <w:rPr>
          <w:rFonts w:cs="Arial"/>
          <w:iCs/>
        </w:rPr>
        <w:t xml:space="preserve"> The Extra Care scheme moved forward with </w:t>
      </w:r>
      <w:r>
        <w:rPr>
          <w:rFonts w:cs="Arial"/>
          <w:iCs/>
        </w:rPr>
        <w:t xml:space="preserve">a full business case developed and </w:t>
      </w:r>
      <w:r w:rsidRPr="00BE1944">
        <w:rPr>
          <w:rFonts w:cs="Arial"/>
          <w:iCs/>
        </w:rPr>
        <w:t>consultation event held in October 2021 at the Civic Centre</w:t>
      </w:r>
      <w:r>
        <w:rPr>
          <w:rFonts w:cs="Arial"/>
          <w:iCs/>
        </w:rPr>
        <w:t xml:space="preserve"> and a further event planned in April 2022</w:t>
      </w:r>
      <w:r w:rsidRPr="00BE1944">
        <w:rPr>
          <w:rFonts w:cs="Arial"/>
          <w:iCs/>
        </w:rPr>
        <w:t xml:space="preserve">. Stage two of the design work has been finalised and the procurement for the main contractor has commenced. </w:t>
      </w:r>
    </w:p>
    <w:p w:rsidR="00E444CB" w:rsidRPr="00716A46" w:rsidP="00E444CB">
      <w:pPr>
        <w:spacing w:after="0" w:line="240" w:lineRule="auto"/>
        <w:rPr>
          <w:rFonts w:ascii="Arial" w:eastAsia="Calibri" w:hAnsi="Arial" w:cs="Times New Roman"/>
          <w:color w:val="FF0000"/>
        </w:rPr>
      </w:pPr>
    </w:p>
    <w:p w:rsidR="00E444CB" w:rsidRPr="004C2D80" w:rsidP="00E444CB">
      <w:pPr>
        <w:pStyle w:val="ListParagraph"/>
        <w:numPr>
          <w:ilvl w:val="0"/>
          <w:numId w:val="8"/>
        </w:numPr>
        <w:spacing w:after="0" w:line="240" w:lineRule="auto"/>
        <w:rPr>
          <w:rFonts w:ascii="Arial" w:eastAsia="Calibri" w:hAnsi="Arial" w:cs="Times New Roman"/>
        </w:rPr>
      </w:pPr>
      <w:r w:rsidRPr="00A0644E">
        <w:rPr>
          <w:rFonts w:ascii="Arial" w:eastAsia="Calibri" w:hAnsi="Arial" w:cs="Times New Roman"/>
          <w:color w:val="FF0000"/>
        </w:rPr>
        <w:t xml:space="preserve"> </w:t>
      </w:r>
      <w:r w:rsidRPr="004C2D80">
        <w:rPr>
          <w:rFonts w:ascii="Arial" w:eastAsia="Calibri" w:hAnsi="Arial" w:cs="Times New Roman"/>
        </w:rPr>
        <w:t>The development to bring Worden Hall back into use as a flexible community and event space has progressed with the replacement of the Marsden ro</w:t>
      </w:r>
      <w:r w:rsidRPr="004C2D80">
        <w:rPr>
          <w:rFonts w:ascii="Arial" w:eastAsia="Calibri" w:hAnsi="Arial" w:cs="Times New Roman"/>
        </w:rPr>
        <w:t>om roof</w:t>
      </w:r>
      <w:r>
        <w:rPr>
          <w:rFonts w:ascii="Arial" w:eastAsia="Calibri" w:hAnsi="Arial" w:cs="Times New Roman"/>
        </w:rPr>
        <w:t>.  The</w:t>
      </w:r>
      <w:r w:rsidRPr="004C2D80">
        <w:rPr>
          <w:rFonts w:ascii="Arial" w:eastAsia="Calibri" w:hAnsi="Arial" w:cs="Times New Roman"/>
        </w:rPr>
        <w:t xml:space="preserve"> internal refurbishment works have been complete</w:t>
      </w:r>
      <w:r>
        <w:rPr>
          <w:rFonts w:ascii="Arial" w:eastAsia="Calibri" w:hAnsi="Arial" w:cs="Times New Roman"/>
        </w:rPr>
        <w:t>d</w:t>
      </w:r>
      <w:r w:rsidRPr="004C2D80">
        <w:rPr>
          <w:rFonts w:ascii="Arial" w:eastAsia="Calibri" w:hAnsi="Arial" w:cs="Times New Roman"/>
        </w:rPr>
        <w:t xml:space="preserve"> in the café, the lift extension has been constructed and the oak frame has been erected in the courtyard.</w:t>
      </w:r>
      <w:r w:rsidRPr="00524F0D">
        <w:rPr>
          <w:rFonts w:ascii="Arial" w:eastAsia="Calibri" w:hAnsi="Arial" w:cs="Times New Roman"/>
        </w:rPr>
        <w:t xml:space="preserve"> In quarter four, further refurbishment works will be undertaken to construct the new pl</w:t>
      </w:r>
      <w:r w:rsidRPr="00524F0D">
        <w:rPr>
          <w:rFonts w:ascii="Arial" w:eastAsia="Calibri" w:hAnsi="Arial" w:cs="Times New Roman"/>
        </w:rPr>
        <w:t xml:space="preserve">ant room building, new lift shaft, toilet block and repairs to the roof. </w:t>
      </w:r>
      <w:r>
        <w:rPr>
          <w:rFonts w:ascii="Arial" w:eastAsia="Calibri" w:hAnsi="Arial" w:cs="Times New Roman"/>
        </w:rPr>
        <w:t xml:space="preserve">Plans for </w:t>
      </w:r>
      <w:r w:rsidRPr="00524F0D">
        <w:rPr>
          <w:rFonts w:ascii="Arial" w:eastAsia="Calibri" w:hAnsi="Arial" w:cs="Times New Roman"/>
        </w:rPr>
        <w:t xml:space="preserve">future events will take place in anticipation for the completion of works to Worden Hall by June 2022 </w:t>
      </w:r>
    </w:p>
    <w:p w:rsidR="00E444CB" w:rsidP="00E444CB">
      <w:pPr>
        <w:pStyle w:val="ListParagraph"/>
        <w:rPr>
          <w:rFonts w:ascii="Arial" w:eastAsia="Calibri" w:hAnsi="Arial" w:cs="Times New Roman"/>
        </w:rPr>
      </w:pPr>
    </w:p>
    <w:p w:rsidR="00E444CB" w:rsidRPr="00A0644E" w:rsidP="00E444CB">
      <w:pPr>
        <w:pStyle w:val="ListParagraph"/>
        <w:numPr>
          <w:ilvl w:val="0"/>
          <w:numId w:val="8"/>
        </w:numPr>
        <w:spacing w:after="0" w:line="240" w:lineRule="auto"/>
        <w:rPr>
          <w:rFonts w:ascii="Arial" w:eastAsia="Calibri" w:hAnsi="Arial" w:cs="Times New Roman"/>
        </w:rPr>
      </w:pPr>
      <w:r w:rsidRPr="00A0644E">
        <w:rPr>
          <w:rFonts w:ascii="Arial" w:eastAsia="Calibri" w:hAnsi="Arial" w:cs="Times New Roman"/>
        </w:rPr>
        <w:t xml:space="preserve">Of the four projects within this priority, </w:t>
      </w:r>
      <w:r>
        <w:rPr>
          <w:rFonts w:ascii="Arial" w:eastAsia="Calibri" w:hAnsi="Arial" w:cs="Times New Roman"/>
        </w:rPr>
        <w:t>all four</w:t>
      </w:r>
      <w:r w:rsidRPr="00A0644E">
        <w:rPr>
          <w:rFonts w:ascii="Arial" w:eastAsia="Calibri" w:hAnsi="Arial" w:cs="Times New Roman"/>
        </w:rPr>
        <w:t xml:space="preserve"> are rated green. </w:t>
      </w:r>
      <w:r w:rsidRPr="00A0644E">
        <w:rPr>
          <w:rFonts w:ascii="Arial" w:eastAsia="Calibri" w:hAnsi="Arial" w:cs="Times New Roman"/>
        </w:rPr>
        <w:t xml:space="preserve"> </w:t>
      </w:r>
    </w:p>
    <w:tbl>
      <w:tblPr>
        <w:tblpPr w:leftFromText="180" w:rightFromText="180" w:vertAnchor="text" w:horzAnchor="margin" w:tblpY="259"/>
        <w:tblOverlap w:val="never"/>
        <w:tblW w:w="9905" w:type="dxa"/>
        <w:tblLook w:val="04A0"/>
      </w:tblPr>
      <w:tblGrid>
        <w:gridCol w:w="7839"/>
        <w:gridCol w:w="2066"/>
      </w:tblGrid>
      <w:tr w:rsidTr="00E444CB">
        <w:tblPrEx>
          <w:tblW w:w="9905" w:type="dxa"/>
          <w:tblLook w:val="04A0"/>
        </w:tblPrEx>
        <w:trPr>
          <w:trHeight w:val="231"/>
          <w:tblHeader/>
        </w:trPr>
        <w:tc>
          <w:tcPr>
            <w:tcW w:w="7839" w:type="dxa"/>
            <w:tcBorders>
              <w:top w:val="single" w:sz="4" w:space="0" w:color="auto"/>
              <w:left w:val="single" w:sz="4" w:space="0" w:color="auto"/>
              <w:right w:val="single" w:sz="4" w:space="0" w:color="auto"/>
            </w:tcBorders>
            <w:shd w:val="clear" w:color="auto" w:fill="BFBFBF"/>
            <w:vAlign w:val="center"/>
          </w:tcPr>
          <w:p w:rsidR="00E444CB" w:rsidRPr="00D312F8" w:rsidP="00E444CB">
            <w:pPr>
              <w:spacing w:after="0" w:line="240" w:lineRule="auto"/>
              <w:rPr>
                <w:rFonts w:ascii="Arial" w:eastAsia="Times New Roman" w:hAnsi="Arial" w:cs="Arial"/>
                <w:b/>
                <w:szCs w:val="20"/>
                <w:lang w:eastAsia="en-GB"/>
              </w:rPr>
            </w:pPr>
          </w:p>
        </w:tc>
        <w:tc>
          <w:tcPr>
            <w:tcW w:w="2066" w:type="dxa"/>
            <w:tcBorders>
              <w:top w:val="single" w:sz="4" w:space="0" w:color="auto"/>
              <w:left w:val="single" w:sz="4" w:space="0" w:color="auto"/>
              <w:right w:val="single" w:sz="4" w:space="0" w:color="auto"/>
            </w:tcBorders>
            <w:shd w:val="clear" w:color="auto" w:fill="BFBFBF"/>
            <w:vAlign w:val="center"/>
          </w:tcPr>
          <w:p w:rsidR="00E444CB" w:rsidRPr="00D312F8" w:rsidP="00E444CB">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202</w:t>
            </w:r>
            <w:r>
              <w:rPr>
                <w:rFonts w:ascii="Arial" w:eastAsia="Times New Roman" w:hAnsi="Arial" w:cs="Arial"/>
                <w:b/>
                <w:szCs w:val="20"/>
                <w:lang w:eastAsia="en-GB"/>
              </w:rPr>
              <w:t>1</w:t>
            </w:r>
            <w:r w:rsidRPr="0077663E">
              <w:rPr>
                <w:rFonts w:ascii="Arial" w:eastAsia="Times New Roman" w:hAnsi="Arial" w:cs="Arial"/>
                <w:b/>
                <w:szCs w:val="20"/>
                <w:lang w:eastAsia="en-GB"/>
              </w:rPr>
              <w:t>-2</w:t>
            </w:r>
            <w:r>
              <w:rPr>
                <w:rFonts w:ascii="Arial" w:eastAsia="Times New Roman" w:hAnsi="Arial" w:cs="Arial"/>
                <w:b/>
                <w:szCs w:val="20"/>
                <w:lang w:eastAsia="en-GB"/>
              </w:rPr>
              <w:t>2</w:t>
            </w:r>
          </w:p>
        </w:tc>
      </w:tr>
      <w:tr w:rsidTr="00E444CB">
        <w:tblPrEx>
          <w:tblW w:w="9905" w:type="dxa"/>
          <w:tblLook w:val="04A0"/>
        </w:tblPrEx>
        <w:trPr>
          <w:trHeight w:val="231"/>
          <w:tblHeader/>
        </w:trPr>
        <w:tc>
          <w:tcPr>
            <w:tcW w:w="7839" w:type="dxa"/>
            <w:tcBorders>
              <w:left w:val="single" w:sz="4" w:space="0" w:color="auto"/>
              <w:bottom w:val="single" w:sz="4" w:space="0" w:color="auto"/>
              <w:right w:val="single" w:sz="4" w:space="0" w:color="auto"/>
            </w:tcBorders>
            <w:shd w:val="clear" w:color="auto" w:fill="BFBFBF"/>
            <w:vAlign w:val="center"/>
          </w:tcPr>
          <w:p w:rsidR="00E444CB" w:rsidRPr="00D312F8" w:rsidP="00E444CB">
            <w:pPr>
              <w:spacing w:after="0" w:line="240" w:lineRule="auto"/>
              <w:rPr>
                <w:rFonts w:ascii="Arial" w:eastAsia="Times New Roman" w:hAnsi="Arial" w:cs="Arial"/>
                <w:b/>
                <w:szCs w:val="20"/>
                <w:lang w:eastAsia="en-GB"/>
              </w:rPr>
            </w:pPr>
            <w:r w:rsidRPr="00D312F8">
              <w:rPr>
                <w:rFonts w:ascii="Arial" w:eastAsia="Times New Roman" w:hAnsi="Arial" w:cs="Arial"/>
                <w:b/>
                <w:szCs w:val="20"/>
                <w:lang w:eastAsia="en-GB"/>
              </w:rPr>
              <w:t>Projects</w:t>
            </w:r>
          </w:p>
        </w:tc>
        <w:tc>
          <w:tcPr>
            <w:tcW w:w="2066" w:type="dxa"/>
            <w:tcBorders>
              <w:left w:val="single" w:sz="4" w:space="0" w:color="auto"/>
              <w:bottom w:val="single" w:sz="4" w:space="0" w:color="auto"/>
              <w:right w:val="single" w:sz="4" w:space="0" w:color="auto"/>
            </w:tcBorders>
            <w:shd w:val="clear" w:color="auto" w:fill="BFBFBF"/>
            <w:vAlign w:val="center"/>
          </w:tcPr>
          <w:p w:rsidR="00E444CB" w:rsidRPr="0077663E" w:rsidP="00E444CB">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 xml:space="preserve">Quarter </w:t>
            </w:r>
            <w:r>
              <w:rPr>
                <w:rFonts w:ascii="Arial" w:eastAsia="Times New Roman" w:hAnsi="Arial" w:cs="Arial"/>
                <w:b/>
                <w:szCs w:val="20"/>
                <w:lang w:eastAsia="en-GB"/>
              </w:rPr>
              <w:t>3</w:t>
            </w:r>
          </w:p>
          <w:p w:rsidR="00E444CB" w:rsidRPr="00D312F8" w:rsidP="00E444CB">
            <w:pPr>
              <w:spacing w:after="0" w:line="240" w:lineRule="auto"/>
              <w:jc w:val="center"/>
              <w:rPr>
                <w:rFonts w:ascii="Arial" w:eastAsia="Times New Roman" w:hAnsi="Arial" w:cs="Arial"/>
                <w:b/>
                <w:szCs w:val="20"/>
                <w:lang w:eastAsia="en-GB"/>
              </w:rPr>
            </w:pPr>
            <w:r w:rsidRPr="0077663E">
              <w:rPr>
                <w:rFonts w:ascii="Arial" w:eastAsia="Times New Roman" w:hAnsi="Arial" w:cs="Arial"/>
                <w:b/>
                <w:szCs w:val="20"/>
                <w:lang w:eastAsia="en-GB"/>
              </w:rPr>
              <w:t>(</w:t>
            </w:r>
            <w:r>
              <w:rPr>
                <w:rFonts w:ascii="Arial" w:eastAsia="Times New Roman" w:hAnsi="Arial" w:cs="Arial"/>
                <w:b/>
                <w:szCs w:val="20"/>
                <w:lang w:eastAsia="en-GB"/>
              </w:rPr>
              <w:t>Oct</w:t>
            </w:r>
            <w:r w:rsidRPr="0077663E">
              <w:rPr>
                <w:rFonts w:ascii="Arial" w:eastAsia="Times New Roman" w:hAnsi="Arial" w:cs="Arial"/>
                <w:b/>
                <w:szCs w:val="20"/>
                <w:lang w:eastAsia="en-GB"/>
              </w:rPr>
              <w:t xml:space="preserve">– </w:t>
            </w:r>
            <w:r>
              <w:rPr>
                <w:rFonts w:ascii="Arial" w:eastAsia="Times New Roman" w:hAnsi="Arial" w:cs="Arial"/>
                <w:b/>
                <w:szCs w:val="20"/>
                <w:lang w:eastAsia="en-GB"/>
              </w:rPr>
              <w:t>Dec</w:t>
            </w:r>
            <w:r w:rsidRPr="0077663E">
              <w:rPr>
                <w:rFonts w:ascii="Arial" w:eastAsia="Times New Roman" w:hAnsi="Arial" w:cs="Arial"/>
                <w:b/>
                <w:szCs w:val="20"/>
                <w:lang w:eastAsia="en-GB"/>
              </w:rPr>
              <w:t>)</w:t>
            </w:r>
          </w:p>
        </w:tc>
      </w:tr>
      <w:tr w:rsidTr="00E444CB">
        <w:tblPrEx>
          <w:tblW w:w="9905" w:type="dxa"/>
          <w:tblLook w:val="04A0"/>
        </w:tblPrEx>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D312F8" w:rsidP="00E444CB">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Bring Worden Hall back into use</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rsidR="00E444CB" w:rsidRPr="00AA5565" w:rsidP="00E444CB">
            <w:pPr>
              <w:spacing w:after="0" w:line="240" w:lineRule="auto"/>
              <w:jc w:val="center"/>
              <w:rPr>
                <w:rFonts w:ascii="Arial" w:eastAsia="Times New Roman" w:hAnsi="Arial" w:cs="Arial"/>
                <w:b/>
                <w:bCs/>
                <w:noProof/>
                <w:color w:val="FFFFFF" w:themeColor="background1"/>
                <w:szCs w:val="20"/>
                <w:lang w:eastAsia="en-GB"/>
              </w:rPr>
            </w:pPr>
            <w:r w:rsidRPr="00AA5565">
              <w:rPr>
                <w:rFonts w:ascii="Arial" w:eastAsia="Times New Roman" w:hAnsi="Arial" w:cs="Arial"/>
                <w:b/>
                <w:bCs/>
                <w:noProof/>
                <w:color w:val="FFFFFF" w:themeColor="background1"/>
                <w:szCs w:val="20"/>
                <w:lang w:eastAsia="en-GB"/>
              </w:rPr>
              <w:t>GREEN</w:t>
            </w:r>
          </w:p>
        </w:tc>
      </w:tr>
      <w:tr w:rsidTr="00E444CB">
        <w:tblPrEx>
          <w:tblW w:w="9905" w:type="dxa"/>
          <w:tblLook w:val="04A0"/>
        </w:tblPrEx>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D312F8" w:rsidP="00E444CB">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Deliver a project to support the green agenda</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rsidR="00E444CB" w:rsidRPr="00AA5565" w:rsidP="00E444CB">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r w:rsidTr="00E444CB">
        <w:tblPrEx>
          <w:tblW w:w="9905" w:type="dxa"/>
          <w:tblLook w:val="04A0"/>
        </w:tblPrEx>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D312F8" w:rsidP="00E444CB">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Deliver a leisure improvement project</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rsidR="00E444CB" w:rsidRPr="00AA5565" w:rsidP="00E444CB">
            <w:pPr>
              <w:spacing w:after="0" w:line="240" w:lineRule="auto"/>
              <w:jc w:val="center"/>
              <w:rPr>
                <w:rFonts w:ascii="Arial" w:eastAsia="Times New Roman" w:hAnsi="Arial" w:cs="Arial"/>
                <w:b/>
                <w:bCs/>
                <w:noProof/>
                <w:color w:val="FFFFFF" w:themeColor="background1"/>
                <w:szCs w:val="20"/>
                <w:lang w:eastAsia="en-GB"/>
              </w:rPr>
            </w:pPr>
            <w:r w:rsidRPr="00DD0E05">
              <w:rPr>
                <w:rFonts w:ascii="Arial" w:eastAsia="Times New Roman" w:hAnsi="Arial" w:cs="Arial"/>
                <w:b/>
                <w:bCs/>
                <w:noProof/>
                <w:color w:val="FFFFFF" w:themeColor="background1"/>
                <w:szCs w:val="20"/>
                <w:lang w:eastAsia="en-GB"/>
              </w:rPr>
              <w:t>GREEN</w:t>
            </w:r>
          </w:p>
        </w:tc>
      </w:tr>
      <w:tr w:rsidTr="00E444CB">
        <w:tblPrEx>
          <w:tblW w:w="9905" w:type="dxa"/>
          <w:tblLook w:val="04A0"/>
        </w:tblPrEx>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D312F8" w:rsidP="00E444CB">
            <w:pPr>
              <w:spacing w:after="0" w:line="240" w:lineRule="auto"/>
              <w:rPr>
                <w:rFonts w:ascii="Arial" w:eastAsia="Times New Roman" w:hAnsi="Arial" w:cs="Arial"/>
                <w:b/>
                <w:bCs/>
                <w:szCs w:val="20"/>
                <w:lang w:eastAsia="en-GB"/>
              </w:rPr>
            </w:pPr>
            <w:r w:rsidRPr="00D312F8">
              <w:rPr>
                <w:rFonts w:ascii="Arial" w:eastAsia="Times New Roman" w:hAnsi="Arial" w:cs="Arial"/>
                <w:b/>
                <w:bCs/>
                <w:szCs w:val="20"/>
                <w:lang w:eastAsia="en-GB"/>
              </w:rPr>
              <w:t>Commence building of affordable homes within the borough</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rsidR="00E444CB" w:rsidRPr="005541F6" w:rsidP="00E444CB">
            <w:pPr>
              <w:spacing w:after="0" w:line="240" w:lineRule="auto"/>
              <w:jc w:val="center"/>
              <w:rPr>
                <w:rFonts w:ascii="Arial" w:eastAsia="Times New Roman" w:hAnsi="Arial" w:cs="Arial"/>
                <w:b/>
                <w:bCs/>
                <w:noProof/>
                <w:color w:val="FFFFFF" w:themeColor="background1"/>
                <w:szCs w:val="20"/>
                <w:lang w:eastAsia="en-GB"/>
              </w:rPr>
            </w:pPr>
            <w:r>
              <w:rPr>
                <w:rFonts w:ascii="Arial" w:eastAsia="Times New Roman" w:hAnsi="Arial" w:cs="Arial"/>
                <w:b/>
                <w:bCs/>
                <w:noProof/>
                <w:color w:val="FFFFFF" w:themeColor="background1"/>
                <w:szCs w:val="20"/>
                <w:lang w:eastAsia="en-GB"/>
              </w:rPr>
              <w:t>GREEN</w:t>
            </w:r>
          </w:p>
        </w:tc>
      </w:tr>
    </w:tbl>
    <w:p w:rsidR="00E444CB" w:rsidP="00E444CB">
      <w:pPr>
        <w:spacing w:after="0" w:line="240" w:lineRule="auto"/>
        <w:contextualSpacing/>
        <w:rPr>
          <w:rFonts w:ascii="Arial" w:eastAsia="Calibri" w:hAnsi="Arial" w:cs="Arial"/>
        </w:rPr>
      </w:pPr>
    </w:p>
    <w:p w:rsidR="00E444CB" w:rsidRPr="00460D79" w:rsidP="00E444CB">
      <w:pPr>
        <w:pStyle w:val="Heading2"/>
        <w:rPr>
          <w:rFonts w:asciiTheme="majorHAnsi" w:hAnsiTheme="majorHAnsi" w:cstheme="majorHAnsi"/>
          <w:sz w:val="22"/>
          <w:szCs w:val="22"/>
        </w:rPr>
      </w:pPr>
      <w:r>
        <w:rPr>
          <w:rFonts w:asciiTheme="majorHAnsi" w:hAnsiTheme="majorHAnsi" w:cstheme="majorHAnsi"/>
          <w:sz w:val="22"/>
          <w:szCs w:val="22"/>
        </w:rPr>
        <w:t>K</w:t>
      </w:r>
      <w:r w:rsidRPr="00460D79">
        <w:rPr>
          <w:rFonts w:asciiTheme="majorHAnsi" w:hAnsiTheme="majorHAnsi" w:cstheme="majorHAnsi"/>
          <w:sz w:val="22"/>
          <w:szCs w:val="22"/>
        </w:rPr>
        <w:t xml:space="preserve">ey </w:t>
      </w:r>
      <w:r w:rsidRPr="00460D79">
        <w:rPr>
          <w:rFonts w:asciiTheme="majorHAnsi" w:hAnsiTheme="majorHAnsi" w:cstheme="majorHAnsi"/>
          <w:sz w:val="22"/>
          <w:szCs w:val="22"/>
        </w:rPr>
        <w:t>Performance Indicators</w:t>
      </w:r>
    </w:p>
    <w:p w:rsidR="00E444CB" w:rsidP="00E444CB">
      <w:pPr>
        <w:pStyle w:val="ListParagraph"/>
        <w:numPr>
          <w:ilvl w:val="0"/>
          <w:numId w:val="8"/>
        </w:numPr>
        <w:spacing w:after="0" w:line="240" w:lineRule="auto"/>
        <w:rPr>
          <w:rFonts w:ascii="Arial" w:eastAsia="Calibri" w:hAnsi="Arial" w:cs="Times New Roman"/>
        </w:rPr>
      </w:pPr>
      <w:r w:rsidRPr="00191B3F">
        <w:rPr>
          <w:rFonts w:ascii="Arial" w:eastAsia="Calibri" w:hAnsi="Arial" w:cs="Times New Roman"/>
        </w:rPr>
        <w:t xml:space="preserve">Of the seven performance measures reported under this outcome, three are due to be reported at the end of this quarter. </w:t>
      </w:r>
      <w:r>
        <w:rPr>
          <w:rFonts w:ascii="Arial" w:eastAsia="Calibri" w:hAnsi="Arial" w:cs="Times New Roman"/>
        </w:rPr>
        <w:t>Two</w:t>
      </w:r>
      <w:r w:rsidRPr="00191B3F">
        <w:rPr>
          <w:rFonts w:ascii="Arial" w:eastAsia="Calibri" w:hAnsi="Arial" w:cs="Times New Roman"/>
        </w:rPr>
        <w:t xml:space="preserve"> are </w:t>
      </w:r>
      <w:r>
        <w:rPr>
          <w:rFonts w:ascii="Arial" w:eastAsia="Calibri" w:hAnsi="Arial" w:cs="Times New Roman"/>
        </w:rPr>
        <w:t>rated on track and one is rated off track.</w:t>
      </w:r>
    </w:p>
    <w:p w:rsidR="00E444CB" w:rsidP="00E444CB">
      <w:pPr>
        <w:pStyle w:val="ListParagraph"/>
        <w:spacing w:after="0" w:line="240" w:lineRule="auto"/>
        <w:ind w:left="360"/>
        <w:rPr>
          <w:rFonts w:ascii="Arial" w:eastAsia="Calibri" w:hAnsi="Arial" w:cs="Times New Roman"/>
        </w:rPr>
      </w:pPr>
      <w:r w:rsidRPr="00826EB3">
        <w:rPr>
          <w:rFonts w:ascii="Arial" w:eastAsia="Calibri" w:hAnsi="Arial" w:cs="Times New Roman"/>
        </w:rPr>
        <w:t>The</w:t>
      </w:r>
      <w:r>
        <w:rPr>
          <w:rFonts w:ascii="Arial" w:eastAsia="Calibri" w:hAnsi="Arial" w:cs="Times New Roman"/>
        </w:rPr>
        <w:t xml:space="preserve"> measures rated as on track are: </w:t>
      </w:r>
    </w:p>
    <w:p w:rsidR="00E444CB" w:rsidRPr="00E214C1" w:rsidP="00E444CB">
      <w:pPr>
        <w:spacing w:after="0" w:line="240" w:lineRule="auto"/>
        <w:rPr>
          <w:rFonts w:ascii="Arial" w:eastAsia="Calibri" w:hAnsi="Arial" w:cs="Times New Roman"/>
        </w:rPr>
      </w:pPr>
    </w:p>
    <w:p w:rsidR="00E444CB" w:rsidP="00E444CB">
      <w:pPr>
        <w:numPr>
          <w:ilvl w:val="0"/>
          <w:numId w:val="15"/>
        </w:numPr>
        <w:spacing w:after="0" w:line="240" w:lineRule="auto"/>
        <w:contextualSpacing/>
        <w:rPr>
          <w:rFonts w:ascii="Arial" w:eastAsia="Calibri" w:hAnsi="Arial" w:cs="Times New Roman"/>
        </w:rPr>
      </w:pPr>
      <w:r w:rsidRPr="00826EB3">
        <w:rPr>
          <w:rFonts w:ascii="Arial" w:eastAsia="Calibri" w:hAnsi="Arial" w:cs="Times New Roman"/>
        </w:rPr>
        <w:t>27,500 Trees will be planted in the borough thi</w:t>
      </w:r>
      <w:r w:rsidRPr="00826EB3">
        <w:rPr>
          <w:rFonts w:ascii="Arial" w:eastAsia="Calibri" w:hAnsi="Arial" w:cs="Times New Roman"/>
        </w:rPr>
        <w:t>s year (Cumulative)</w:t>
      </w:r>
      <w:r>
        <w:rPr>
          <w:rFonts w:ascii="Arial" w:eastAsia="Calibri" w:hAnsi="Arial" w:cs="Times New Roman"/>
        </w:rPr>
        <w:t>,</w:t>
      </w:r>
    </w:p>
    <w:p w:rsidR="00E444CB" w:rsidP="00E444CB">
      <w:pPr>
        <w:numPr>
          <w:ilvl w:val="0"/>
          <w:numId w:val="15"/>
        </w:numPr>
        <w:spacing w:after="0" w:line="240" w:lineRule="auto"/>
        <w:contextualSpacing/>
        <w:rPr>
          <w:rFonts w:ascii="Arial" w:eastAsia="Calibri" w:hAnsi="Arial" w:cs="Times New Roman"/>
        </w:rPr>
      </w:pPr>
      <w:r w:rsidRPr="00F752B9">
        <w:rPr>
          <w:rFonts w:ascii="Arial" w:eastAsia="Calibri" w:hAnsi="Arial" w:cs="Times New Roman"/>
        </w:rPr>
        <w:t>Total number of young people’s physical activity courses delivered</w:t>
      </w:r>
      <w:r>
        <w:rPr>
          <w:rFonts w:ascii="Arial" w:eastAsia="Calibri" w:hAnsi="Arial" w:cs="Times New Roman"/>
        </w:rPr>
        <w:t>.</w:t>
      </w:r>
    </w:p>
    <w:p w:rsidR="00EF434C" w:rsidP="00EF434C">
      <w:pPr>
        <w:spacing w:after="0" w:line="240" w:lineRule="auto"/>
        <w:ind w:left="1440"/>
        <w:contextualSpacing/>
        <w:rPr>
          <w:rFonts w:ascii="Arial" w:eastAsia="Calibri" w:hAnsi="Arial" w:cs="Times New Roman"/>
        </w:rPr>
      </w:pPr>
    </w:p>
    <w:p w:rsidR="00EF434C" w:rsidP="00EF434C">
      <w:pPr>
        <w:spacing w:after="0" w:line="240" w:lineRule="auto"/>
        <w:ind w:firstLine="426"/>
        <w:contextualSpacing/>
        <w:rPr>
          <w:rFonts w:ascii="Arial" w:eastAsia="Calibri" w:hAnsi="Arial" w:cs="Times New Roman"/>
        </w:rPr>
      </w:pPr>
      <w:r>
        <w:rPr>
          <w:rFonts w:ascii="Arial" w:eastAsia="Calibri" w:hAnsi="Arial" w:cs="Times New Roman"/>
        </w:rPr>
        <w:t>The measure rated as off track is:</w:t>
      </w:r>
    </w:p>
    <w:p w:rsidR="00EF434C" w:rsidP="00EF434C">
      <w:pPr>
        <w:spacing w:after="0" w:line="240" w:lineRule="auto"/>
        <w:ind w:firstLine="426"/>
        <w:contextualSpacing/>
        <w:rPr>
          <w:rFonts w:ascii="Arial" w:eastAsia="Calibri" w:hAnsi="Arial" w:cs="Times New Roman"/>
        </w:rPr>
      </w:pPr>
    </w:p>
    <w:p w:rsidR="00E444CB" w:rsidRPr="002936BC" w:rsidP="00E444CB">
      <w:pPr>
        <w:numPr>
          <w:ilvl w:val="0"/>
          <w:numId w:val="15"/>
        </w:numPr>
        <w:spacing w:after="0" w:line="240" w:lineRule="auto"/>
        <w:contextualSpacing/>
        <w:rPr>
          <w:rFonts w:ascii="Arial" w:eastAsia="Calibri" w:hAnsi="Arial" w:cs="Times New Roman"/>
        </w:rPr>
      </w:pPr>
      <w:r w:rsidRPr="002936BC">
        <w:rPr>
          <w:rFonts w:ascii="Arial" w:eastAsia="Calibri" w:hAnsi="Arial" w:cs="Times New Roman"/>
        </w:rPr>
        <w:t>The number of people who are prevented from becoming homeless is increased</w:t>
      </w:r>
      <w:r>
        <w:rPr>
          <w:rFonts w:ascii="Arial" w:eastAsia="Calibri" w:hAnsi="Arial" w:cs="Times New Roman"/>
        </w:rPr>
        <w:t>.</w:t>
      </w:r>
    </w:p>
    <w:p w:rsidR="00EF434C" w:rsidP="00E444CB">
      <w:pPr>
        <w:spacing w:after="0" w:line="240" w:lineRule="auto"/>
        <w:contextualSpacing/>
        <w:rPr>
          <w:rFonts w:ascii="Arial" w:eastAsia="Calibri" w:hAnsi="Arial" w:cs="Arial"/>
        </w:rPr>
      </w:pPr>
    </w:p>
    <w:tbl>
      <w:tblPr>
        <w:tblW w:w="10065" w:type="dxa"/>
        <w:tblInd w:w="-5" w:type="dxa"/>
        <w:tblCellMar>
          <w:left w:w="0" w:type="dxa"/>
          <w:right w:w="0" w:type="dxa"/>
        </w:tblCellMar>
        <w:tblLook w:val="04A0"/>
      </w:tblPr>
      <w:tblGrid>
        <w:gridCol w:w="2552"/>
        <w:gridCol w:w="1134"/>
        <w:gridCol w:w="1134"/>
        <w:gridCol w:w="1560"/>
        <w:gridCol w:w="1134"/>
        <w:gridCol w:w="1134"/>
        <w:gridCol w:w="1417"/>
      </w:tblGrid>
      <w:tr w:rsidTr="00EF434C">
        <w:tblPrEx>
          <w:tblW w:w="10065" w:type="dxa"/>
          <w:tblInd w:w="-5" w:type="dxa"/>
          <w:tblCellMar>
            <w:left w:w="0" w:type="dxa"/>
            <w:right w:w="0" w:type="dxa"/>
          </w:tblCellMar>
          <w:tblLook w:val="04A0"/>
        </w:tblPrEx>
        <w:trPr>
          <w:trHeight w:val="254"/>
        </w:trPr>
        <w:tc>
          <w:tcPr>
            <w:tcW w:w="255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EF434C">
            <w:pPr>
              <w:spacing w:after="160" w:line="252" w:lineRule="auto"/>
              <w:contextualSpacing/>
              <w:rPr>
                <w:b/>
                <w:bCs/>
              </w:rPr>
            </w:pPr>
            <w:r>
              <w:rPr>
                <w:b/>
                <w:bCs/>
              </w:rPr>
              <w:t>Key Performance Indicator</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F434C">
            <w:pPr>
              <w:spacing w:line="252" w:lineRule="auto"/>
              <w:rPr>
                <w:b/>
                <w:bCs/>
              </w:rPr>
            </w:pPr>
            <w:r>
              <w:rPr>
                <w:b/>
                <w:bCs/>
                <w:color w:val="000000"/>
              </w:rPr>
              <w:t>Polarity</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F434C">
            <w:pPr>
              <w:spacing w:line="252" w:lineRule="auto"/>
              <w:rPr>
                <w:b/>
                <w:bCs/>
              </w:rPr>
            </w:pPr>
            <w:r>
              <w:rPr>
                <w:b/>
                <w:bCs/>
                <w:color w:val="000000"/>
              </w:rPr>
              <w:t>Target</w:t>
            </w:r>
          </w:p>
        </w:tc>
        <w:tc>
          <w:tcPr>
            <w:tcW w:w="15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F434C">
            <w:pPr>
              <w:spacing w:line="252" w:lineRule="auto"/>
              <w:jc w:val="center"/>
              <w:rPr>
                <w:b/>
                <w:bCs/>
              </w:rPr>
            </w:pPr>
            <w:r>
              <w:rPr>
                <w:b/>
                <w:bCs/>
                <w:color w:val="000000"/>
              </w:rPr>
              <w:t>Comparable Period</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F434C" w:rsidP="00EF434C">
            <w:pPr>
              <w:spacing w:after="0" w:line="240" w:lineRule="auto"/>
              <w:jc w:val="center"/>
              <w:rPr>
                <w:b/>
                <w:bCs/>
              </w:rPr>
            </w:pPr>
            <w:r>
              <w:rPr>
                <w:b/>
                <w:bCs/>
                <w:color w:val="000000"/>
              </w:rPr>
              <w:t>Quarter 3</w:t>
            </w:r>
          </w:p>
          <w:p w:rsidR="00EF434C" w:rsidP="00EF434C">
            <w:pPr>
              <w:spacing w:after="0" w:line="240" w:lineRule="auto"/>
              <w:jc w:val="center"/>
              <w:rPr>
                <w:b/>
                <w:bCs/>
              </w:rPr>
            </w:pPr>
            <w:r>
              <w:rPr>
                <w:b/>
                <w:bCs/>
                <w:color w:val="000000"/>
              </w:rPr>
              <w:t>2021/22</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F434C">
            <w:pPr>
              <w:spacing w:line="252" w:lineRule="auto"/>
              <w:jc w:val="center"/>
              <w:rPr>
                <w:b/>
                <w:bCs/>
              </w:rPr>
            </w:pPr>
            <w:r>
              <w:rPr>
                <w:b/>
                <w:bCs/>
                <w:color w:val="000000"/>
              </w:rPr>
              <w:t xml:space="preserve">Symbol </w:t>
            </w:r>
          </w:p>
        </w:tc>
        <w:tc>
          <w:tcPr>
            <w:tcW w:w="141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EF434C">
            <w:pPr>
              <w:spacing w:line="252" w:lineRule="auto"/>
              <w:jc w:val="center"/>
              <w:rPr>
                <w:b/>
                <w:bCs/>
              </w:rPr>
            </w:pPr>
            <w:r>
              <w:rPr>
                <w:b/>
                <w:bCs/>
                <w:color w:val="000000"/>
              </w:rPr>
              <w:t>Trend</w:t>
            </w:r>
          </w:p>
        </w:tc>
      </w:tr>
      <w:tr w:rsidTr="00EF434C">
        <w:tblPrEx>
          <w:tblW w:w="10065" w:type="dxa"/>
          <w:tblInd w:w="-5" w:type="dxa"/>
          <w:tblCellMar>
            <w:left w:w="0" w:type="dxa"/>
            <w:right w:w="0" w:type="dxa"/>
          </w:tblCellMar>
          <w:tblLook w:val="04A0"/>
        </w:tblPrEx>
        <w:trPr>
          <w:trHeight w:val="83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434C" w:rsidP="0053102B">
            <w:pPr>
              <w:spacing w:after="0" w:line="240" w:lineRule="auto"/>
            </w:pPr>
            <w:r>
              <w:t>The number of people who are prevented from becoming homeless is increased</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34C" w:rsidP="0053102B">
            <w:pPr>
              <w:spacing w:after="0" w:line="240" w:lineRule="auto"/>
              <w:jc w:val="center"/>
            </w:pPr>
            <w:r>
              <w:t>Bigger is better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34C" w:rsidP="0053102B">
            <w:pPr>
              <w:spacing w:after="0" w:line="240" w:lineRule="auto"/>
              <w:jc w:val="center"/>
            </w:pPr>
            <w:r>
              <w:t>Target to improve trend</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34C" w:rsidP="0053102B">
            <w:pPr>
              <w:spacing w:after="0" w:line="240" w:lineRule="auto"/>
              <w:jc w:val="center"/>
            </w:pPr>
            <w:r>
              <w:t>75</w:t>
            </w:r>
          </w:p>
          <w:p w:rsidR="00EF434C" w:rsidP="0053102B">
            <w:pPr>
              <w:spacing w:after="0" w:line="240" w:lineRule="auto"/>
              <w:jc w:val="center"/>
            </w:pPr>
            <w:r>
              <w:rPr>
                <w:lang w:val="en-US"/>
              </w:rPr>
              <w:t>(Q2:2021/22)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34C" w:rsidP="0053102B">
            <w:pPr>
              <w:spacing w:after="0" w:line="240" w:lineRule="auto"/>
              <w:jc w:val="center"/>
              <w:rPr>
                <w:b/>
                <w:bCs/>
              </w:rPr>
            </w:pPr>
            <w:r>
              <w:rPr>
                <w:b/>
                <w:bCs/>
              </w:rPr>
              <w:t>75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34C" w:rsidP="0053102B">
            <w:pPr>
              <w:spacing w:after="0" w:line="240" w:lineRule="auto"/>
              <w:jc w:val="center"/>
            </w:pPr>
            <w:r>
              <w:rPr>
                <w:rFonts w:ascii="Wingdings 3" w:hAnsi="Wingdings 3"/>
                <w:color w:val="FF0000"/>
                <w:sz w:val="32"/>
                <w:szCs w:val="32"/>
              </w:rPr>
              <w:t>p</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F434C" w:rsidP="0053102B">
            <w:pPr>
              <w:spacing w:after="0" w:line="240" w:lineRule="auto"/>
              <w:jc w:val="center"/>
            </w:pPr>
            <w:r>
              <w:rPr>
                <w:color w:val="FF0000"/>
              </w:rPr>
              <w:t>Worse than Q3:2020/21</w:t>
            </w:r>
          </w:p>
        </w:tc>
      </w:tr>
      <w:tr w:rsidTr="0053102B">
        <w:tblPrEx>
          <w:tblW w:w="10065" w:type="dxa"/>
          <w:tblInd w:w="-5" w:type="dxa"/>
          <w:tblCellMar>
            <w:left w:w="0" w:type="dxa"/>
            <w:right w:w="0" w:type="dxa"/>
          </w:tblCellMar>
          <w:tblLook w:val="04A0"/>
        </w:tblPrEx>
        <w:trPr>
          <w:trHeight w:val="4911"/>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34C">
            <w:pPr>
              <w:rPr>
                <w:color w:val="FF0000"/>
              </w:rPr>
            </w:pPr>
            <w:r>
              <w:rPr>
                <w:rFonts w:ascii="Arial" w:hAnsi="Arial" w:cs="Arial"/>
                <w:b/>
                <w:bCs/>
              </w:rPr>
              <w:t>Action Plan:</w:t>
            </w:r>
          </w:p>
        </w:tc>
        <w:tc>
          <w:tcPr>
            <w:tcW w:w="7513" w:type="dxa"/>
            <w:gridSpan w:val="6"/>
            <w:tcBorders>
              <w:top w:val="nil"/>
              <w:left w:val="nil"/>
              <w:bottom w:val="single" w:sz="8" w:space="0" w:color="auto"/>
              <w:right w:val="single" w:sz="8" w:space="0" w:color="auto"/>
            </w:tcBorders>
            <w:tcMar>
              <w:top w:w="0" w:type="dxa"/>
              <w:left w:w="108" w:type="dxa"/>
              <w:bottom w:w="0" w:type="dxa"/>
              <w:right w:w="108" w:type="dxa"/>
            </w:tcMar>
          </w:tcPr>
          <w:p w:rsidR="00EF434C" w:rsidRPr="0053102B" w:rsidP="0053102B">
            <w:pPr>
              <w:spacing w:after="0" w:line="240" w:lineRule="auto"/>
              <w:rPr>
                <w:rFonts w:eastAsia="Calibri" w:cs="Times New Roman"/>
              </w:rPr>
            </w:pPr>
            <w:r w:rsidRPr="0053102B">
              <w:rPr>
                <w:rFonts w:eastAsia="Calibri" w:cs="Times New Roman"/>
              </w:rPr>
              <w:t>There has been an increase in the number of duties to refer presentations from statutory bodies such as hospital, probation, police and prison services as a result of greater awareness among referring agencies through multiagency working.</w:t>
            </w:r>
            <w:r>
              <w:rPr>
                <w:rFonts w:eastAsia="Calibri" w:cs="Times New Roman"/>
              </w:rPr>
              <w:t xml:space="preserve"> The data suggests</w:t>
            </w:r>
            <w:r>
              <w:rPr>
                <w:rFonts w:eastAsia="Calibri" w:cs="Times New Roman"/>
              </w:rPr>
              <w:t xml:space="preserve"> that the number of referrals from statutory bodies has doubled from 2020 to 2021. </w:t>
            </w:r>
            <w:r w:rsidRPr="0053102B">
              <w:rPr>
                <w:rFonts w:eastAsia="Calibri" w:cs="Times New Roman"/>
              </w:rPr>
              <w:t>These individuals usually have complex or multiple needs that create barriers to accessing and sustaining tenancies.  In addition, the amount of affordable properties availa</w:t>
            </w:r>
            <w:r w:rsidRPr="0053102B">
              <w:rPr>
                <w:rFonts w:eastAsia="Calibri" w:cs="Times New Roman"/>
              </w:rPr>
              <w:t xml:space="preserve">ble is limited and the social housing register has increased by 25% since the pandemic which has impacted on the South Ribble waiting times. </w:t>
            </w:r>
          </w:p>
          <w:p w:rsidR="0053102B" w:rsidRPr="0053102B" w:rsidP="0053102B">
            <w:pPr>
              <w:spacing w:after="0" w:line="240" w:lineRule="auto"/>
              <w:rPr>
                <w:rFonts w:eastAsia="Calibri" w:cs="Times New Roman"/>
              </w:rPr>
            </w:pPr>
          </w:p>
          <w:p w:rsidR="00EF434C" w:rsidP="0053102B">
            <w:pPr>
              <w:spacing w:after="0" w:line="240" w:lineRule="auto"/>
            </w:pPr>
            <w:r w:rsidRPr="0053102B">
              <w:rPr>
                <w:rFonts w:eastAsia="Calibri" w:cs="Times New Roman"/>
              </w:rPr>
              <w:t>The prevention of rough sleepers’ co-ordinator has been working in partnership with other partner agencies to sup</w:t>
            </w:r>
            <w:r w:rsidRPr="0053102B">
              <w:rPr>
                <w:rFonts w:eastAsia="Calibri" w:cs="Times New Roman"/>
              </w:rPr>
              <w:t>port individuals with complex needs to establish pathways into accommodation.  The council works closely with the private rental sector to seek any affordable housing that may be available. A social housing steering group also meets on a monthly basis to r</w:t>
            </w:r>
            <w:r w:rsidRPr="0053102B">
              <w:rPr>
                <w:rFonts w:eastAsia="Calibri" w:cs="Times New Roman"/>
              </w:rPr>
              <w:t>eview the housing policy. The Council has also fed into the team responsible for updating the Central Lancashire Housing Needs Assessment which will contribute to the emerging Lancashire Local Plan.</w:t>
            </w:r>
            <w:r>
              <w:t xml:space="preserve">  </w:t>
            </w:r>
          </w:p>
        </w:tc>
      </w:tr>
    </w:tbl>
    <w:p w:rsidR="00E444CB" w:rsidP="00E444CB">
      <w:pPr>
        <w:pStyle w:val="Heading2"/>
        <w:rPr>
          <w:rFonts w:asciiTheme="majorHAnsi" w:hAnsiTheme="majorHAnsi" w:cstheme="majorHAnsi"/>
          <w:sz w:val="22"/>
          <w:szCs w:val="22"/>
        </w:rPr>
      </w:pPr>
      <w:r w:rsidRPr="00201F8E">
        <w:rPr>
          <w:rFonts w:asciiTheme="majorHAnsi" w:hAnsiTheme="majorHAnsi" w:cstheme="majorHAnsi"/>
          <w:sz w:val="22"/>
          <w:szCs w:val="22"/>
        </w:rPr>
        <w:t xml:space="preserve">Key </w:t>
      </w:r>
      <w:r>
        <w:rPr>
          <w:rFonts w:asciiTheme="majorHAnsi" w:hAnsiTheme="majorHAnsi" w:cstheme="majorHAnsi"/>
          <w:sz w:val="22"/>
          <w:szCs w:val="22"/>
        </w:rPr>
        <w:t>o</w:t>
      </w:r>
      <w:r w:rsidRPr="00201F8E">
        <w:rPr>
          <w:rFonts w:asciiTheme="majorHAnsi" w:hAnsiTheme="majorHAnsi" w:cstheme="majorHAnsi"/>
          <w:sz w:val="22"/>
          <w:szCs w:val="22"/>
        </w:rPr>
        <w:t xml:space="preserve">rganisational performance measures </w:t>
      </w:r>
    </w:p>
    <w:p w:rsidR="00E444CB" w:rsidP="00E444CB">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At the end of</w:t>
      </w:r>
      <w:r w:rsidRPr="00201F8E">
        <w:rPr>
          <w:rFonts w:ascii="Arial" w:eastAsia="Calibri" w:hAnsi="Arial" w:cs="Times New Roman"/>
        </w:rPr>
        <w:t xml:space="preserve"> quarter </w:t>
      </w:r>
      <w:r>
        <w:rPr>
          <w:rFonts w:ascii="Arial" w:eastAsia="Calibri" w:hAnsi="Arial" w:cs="Times New Roman"/>
        </w:rPr>
        <w:t>three</w:t>
      </w:r>
      <w:r w:rsidRPr="00201F8E">
        <w:rPr>
          <w:rFonts w:ascii="Arial" w:eastAsia="Calibri" w:hAnsi="Arial" w:cs="Times New Roman"/>
        </w:rPr>
        <w:t xml:space="preserve">, there are </w:t>
      </w:r>
      <w:r>
        <w:rPr>
          <w:rFonts w:ascii="Arial" w:eastAsia="Calibri" w:hAnsi="Arial" w:cs="Times New Roman"/>
        </w:rPr>
        <w:t>12</w:t>
      </w:r>
      <w:r w:rsidRPr="00201F8E">
        <w:rPr>
          <w:rFonts w:ascii="Arial" w:eastAsia="Calibri" w:hAnsi="Arial" w:cs="Times New Roman"/>
        </w:rPr>
        <w:t xml:space="preserve"> key organisational performance measures due to be reported. A full list of the performance indicators is included in Appendix 2. </w:t>
      </w:r>
    </w:p>
    <w:p w:rsidR="00E444CB" w:rsidP="00E444CB">
      <w:pPr>
        <w:pStyle w:val="ListParagraph"/>
        <w:spacing w:after="0" w:line="240" w:lineRule="auto"/>
        <w:ind w:left="360"/>
        <w:rPr>
          <w:rFonts w:ascii="Arial" w:eastAsia="Calibri" w:hAnsi="Arial" w:cs="Times New Roman"/>
        </w:rPr>
      </w:pPr>
    </w:p>
    <w:p w:rsidR="00E444CB" w:rsidP="00E444CB">
      <w:pPr>
        <w:pStyle w:val="ListParagraph"/>
        <w:numPr>
          <w:ilvl w:val="0"/>
          <w:numId w:val="8"/>
        </w:numPr>
        <w:spacing w:after="0" w:line="240" w:lineRule="auto"/>
        <w:rPr>
          <w:rFonts w:ascii="Arial" w:eastAsia="Calibri" w:hAnsi="Arial" w:cs="Times New Roman"/>
        </w:rPr>
      </w:pPr>
      <w:r w:rsidRPr="00D312F8">
        <w:rPr>
          <w:rFonts w:ascii="Arial" w:eastAsia="Calibri" w:hAnsi="Arial" w:cs="Times New Roman"/>
        </w:rPr>
        <w:t xml:space="preserve">Of the </w:t>
      </w:r>
      <w:r>
        <w:rPr>
          <w:rFonts w:ascii="Arial" w:eastAsia="Calibri" w:hAnsi="Arial" w:cs="Times New Roman"/>
        </w:rPr>
        <w:t>12</w:t>
      </w:r>
      <w:r w:rsidRPr="00D312F8">
        <w:rPr>
          <w:rFonts w:ascii="Arial" w:eastAsia="Calibri" w:hAnsi="Arial" w:cs="Times New Roman"/>
        </w:rPr>
        <w:t xml:space="preserve"> key organisational performance measures, </w:t>
      </w:r>
      <w:r>
        <w:rPr>
          <w:rFonts w:ascii="Arial" w:eastAsia="Calibri" w:hAnsi="Arial" w:cs="Times New Roman"/>
        </w:rPr>
        <w:t>nine</w:t>
      </w:r>
      <w:r w:rsidRPr="00D312F8">
        <w:rPr>
          <w:rFonts w:ascii="Arial" w:eastAsia="Calibri" w:hAnsi="Arial" w:cs="Times New Roman"/>
        </w:rPr>
        <w:t xml:space="preserve"> are </w:t>
      </w:r>
      <w:r>
        <w:rPr>
          <w:rFonts w:ascii="Arial" w:eastAsia="Calibri" w:hAnsi="Arial" w:cs="Times New Roman"/>
        </w:rPr>
        <w:t>on track and performing above target:</w:t>
      </w:r>
    </w:p>
    <w:p w:rsidR="0053102B" w:rsidRPr="0053102B" w:rsidP="0053102B">
      <w:pPr>
        <w:spacing w:after="0" w:line="240" w:lineRule="auto"/>
        <w:rPr>
          <w:rFonts w:ascii="Arial" w:eastAsia="Calibri" w:hAnsi="Arial" w:cs="Times New Roman"/>
        </w:rPr>
      </w:pPr>
    </w:p>
    <w:p w:rsidR="00E444CB" w:rsidRPr="00493E90" w:rsidP="00E444CB">
      <w:pPr>
        <w:pStyle w:val="ListParagraph"/>
        <w:numPr>
          <w:ilvl w:val="0"/>
          <w:numId w:val="15"/>
        </w:numPr>
        <w:spacing w:after="0" w:line="240" w:lineRule="auto"/>
        <w:rPr>
          <w:rFonts w:ascii="Arial" w:eastAsia="Calibri" w:hAnsi="Arial" w:cs="Times New Roman"/>
        </w:rPr>
      </w:pPr>
      <w:r w:rsidRPr="00F12C84">
        <w:rPr>
          <w:rFonts w:eastAsia="Calibri" w:cs="Times New Roman"/>
        </w:rPr>
        <w:t>% planning applications d</w:t>
      </w:r>
      <w:r w:rsidRPr="00F12C84">
        <w:rPr>
          <w:rFonts w:eastAsia="Calibri" w:cs="Times New Roman"/>
        </w:rPr>
        <w:t>ecided within 13 weeks (major applications)</w:t>
      </w:r>
      <w:r>
        <w:rPr>
          <w:rFonts w:eastAsia="Calibri" w:cs="Times New Roman"/>
        </w:rPr>
        <w:t>,</w:t>
      </w:r>
    </w:p>
    <w:p w:rsidR="00E444CB" w:rsidRPr="00493E90" w:rsidP="00E444CB">
      <w:pPr>
        <w:pStyle w:val="ListParagraph"/>
        <w:numPr>
          <w:ilvl w:val="0"/>
          <w:numId w:val="15"/>
        </w:numPr>
        <w:spacing w:after="0" w:line="240" w:lineRule="auto"/>
        <w:rPr>
          <w:rFonts w:ascii="Arial" w:eastAsia="Calibri" w:hAnsi="Arial" w:cs="Times New Roman"/>
        </w:rPr>
      </w:pPr>
      <w:r w:rsidRPr="00493E90">
        <w:rPr>
          <w:rFonts w:ascii="Arial" w:eastAsia="Calibri" w:hAnsi="Arial" w:cs="Times New Roman"/>
        </w:rPr>
        <w:t>% planning applications decided within 8 weeks (minor / other applications),</w:t>
      </w:r>
    </w:p>
    <w:p w:rsidR="00E444CB" w:rsidP="00E444CB">
      <w:pPr>
        <w:pStyle w:val="ListParagraph"/>
        <w:numPr>
          <w:ilvl w:val="0"/>
          <w:numId w:val="15"/>
        </w:numPr>
        <w:spacing w:after="0" w:line="240" w:lineRule="auto"/>
        <w:rPr>
          <w:rFonts w:ascii="Arial" w:eastAsia="Calibri" w:hAnsi="Arial" w:cs="Times New Roman"/>
        </w:rPr>
      </w:pPr>
      <w:r w:rsidRPr="007321BA">
        <w:rPr>
          <w:rFonts w:ascii="Arial" w:eastAsia="Calibri" w:hAnsi="Arial" w:cs="Times New Roman"/>
        </w:rPr>
        <w:t>The average number of working days from Disabled Facilities grant referral received from LCC to application approved</w:t>
      </w:r>
      <w:r>
        <w:rPr>
          <w:rFonts w:ascii="Arial" w:eastAsia="Calibri" w:hAnsi="Arial" w:cs="Times New Roman"/>
        </w:rPr>
        <w:t>,</w:t>
      </w:r>
    </w:p>
    <w:p w:rsidR="00E444CB" w:rsidP="00E444CB">
      <w:pPr>
        <w:pStyle w:val="ListParagraph"/>
        <w:numPr>
          <w:ilvl w:val="0"/>
          <w:numId w:val="15"/>
        </w:numPr>
        <w:spacing w:after="0" w:line="240" w:lineRule="auto"/>
        <w:rPr>
          <w:rFonts w:ascii="Arial" w:eastAsia="Calibri" w:hAnsi="Arial" w:cs="Times New Roman"/>
        </w:rPr>
      </w:pPr>
      <w:r w:rsidRPr="00D312F8">
        <w:rPr>
          <w:rFonts w:ascii="Arial" w:eastAsia="Calibri" w:hAnsi="Arial" w:cs="Times New Roman"/>
        </w:rPr>
        <w:t>% of telephone calls answered within 90 seconds</w:t>
      </w:r>
      <w:r>
        <w:rPr>
          <w:rFonts w:ascii="Arial" w:eastAsia="Calibri" w:hAnsi="Arial" w:cs="Times New Roman"/>
        </w:rPr>
        <w:t>,</w:t>
      </w:r>
    </w:p>
    <w:p w:rsidR="00E444CB" w:rsidP="00E444CB">
      <w:pPr>
        <w:pStyle w:val="ListParagraph"/>
        <w:numPr>
          <w:ilvl w:val="0"/>
          <w:numId w:val="15"/>
        </w:numPr>
        <w:rPr>
          <w:rFonts w:ascii="Arial" w:eastAsia="Calibri" w:hAnsi="Arial" w:cs="Times New Roman"/>
        </w:rPr>
      </w:pPr>
      <w:r w:rsidRPr="002936BC">
        <w:rPr>
          <w:rFonts w:ascii="Arial" w:eastAsia="Calibri" w:hAnsi="Arial" w:cs="Times New Roman"/>
        </w:rPr>
        <w:t>Average days to process a new Housing Benefit claim</w:t>
      </w:r>
      <w:r>
        <w:rPr>
          <w:rFonts w:ascii="Arial" w:eastAsia="Calibri" w:hAnsi="Arial" w:cs="Times New Roman"/>
        </w:rPr>
        <w:t>,</w:t>
      </w:r>
    </w:p>
    <w:p w:rsidR="00E444CB" w:rsidRPr="00493E90" w:rsidP="00E444CB">
      <w:pPr>
        <w:pStyle w:val="ListParagraph"/>
        <w:numPr>
          <w:ilvl w:val="0"/>
          <w:numId w:val="15"/>
        </w:numPr>
        <w:spacing w:after="0" w:line="240" w:lineRule="auto"/>
        <w:rPr>
          <w:rFonts w:ascii="Arial" w:eastAsia="Calibri" w:hAnsi="Arial" w:cs="Times New Roman"/>
        </w:rPr>
      </w:pPr>
      <w:r w:rsidRPr="00493E90">
        <w:rPr>
          <w:rFonts w:ascii="Arial" w:eastAsia="Calibri" w:hAnsi="Arial" w:cs="Times New Roman"/>
        </w:rPr>
        <w:t>Number of Accidents reported to Heal</w:t>
      </w:r>
      <w:r w:rsidRPr="00493E90">
        <w:rPr>
          <w:rFonts w:ascii="Arial" w:eastAsia="Calibri" w:hAnsi="Arial" w:cs="Times New Roman"/>
        </w:rPr>
        <w:t>th and Safety from work related activity</w:t>
      </w:r>
      <w:r>
        <w:rPr>
          <w:rFonts w:ascii="Arial" w:eastAsia="Calibri" w:hAnsi="Arial" w:cs="Times New Roman"/>
        </w:rPr>
        <w:t>,</w:t>
      </w:r>
    </w:p>
    <w:p w:rsidR="00E444CB" w:rsidRPr="00493E90" w:rsidP="00E444CB">
      <w:pPr>
        <w:pStyle w:val="ListParagraph"/>
        <w:numPr>
          <w:ilvl w:val="0"/>
          <w:numId w:val="15"/>
        </w:numPr>
        <w:spacing w:after="0" w:line="240" w:lineRule="auto"/>
        <w:rPr>
          <w:rFonts w:ascii="Arial" w:eastAsia="Calibri" w:hAnsi="Arial" w:cs="Times New Roman"/>
        </w:rPr>
      </w:pPr>
      <w:r w:rsidRPr="00493E90">
        <w:rPr>
          <w:rFonts w:ascii="Arial" w:eastAsia="Calibri" w:hAnsi="Arial" w:cs="Times New Roman"/>
        </w:rPr>
        <w:t>No. of accidents reported to Health Safety Executive for work related activity (RIDDOR)</w:t>
      </w:r>
      <w:r>
        <w:rPr>
          <w:rFonts w:ascii="Arial" w:eastAsia="Calibri" w:hAnsi="Arial" w:cs="Times New Roman"/>
        </w:rPr>
        <w:t>,</w:t>
      </w:r>
    </w:p>
    <w:p w:rsidR="00E444CB" w:rsidRPr="00D312F8" w:rsidP="00E444CB">
      <w:pPr>
        <w:pStyle w:val="ListParagraph"/>
        <w:numPr>
          <w:ilvl w:val="0"/>
          <w:numId w:val="15"/>
        </w:numPr>
        <w:spacing w:after="0" w:line="240" w:lineRule="auto"/>
        <w:rPr>
          <w:rFonts w:ascii="Arial" w:eastAsia="Calibri" w:hAnsi="Arial" w:cs="Times New Roman"/>
        </w:rPr>
      </w:pPr>
      <w:r w:rsidRPr="00493E90">
        <w:rPr>
          <w:rFonts w:ascii="Arial" w:eastAsia="Calibri" w:hAnsi="Arial" w:cs="Times New Roman"/>
        </w:rPr>
        <w:t>Number of near miss incidents reported to Health and Safety</w:t>
      </w:r>
      <w:r>
        <w:rPr>
          <w:rFonts w:ascii="Arial" w:eastAsia="Calibri" w:hAnsi="Arial" w:cs="Times New Roman"/>
        </w:rPr>
        <w:t>,</w:t>
      </w:r>
      <w:r w:rsidRPr="00493E90">
        <w:rPr>
          <w:rFonts w:ascii="Arial" w:eastAsia="Calibri" w:hAnsi="Arial" w:cs="Times New Roman"/>
        </w:rPr>
        <w:t xml:space="preserve">  </w:t>
      </w:r>
    </w:p>
    <w:p w:rsidR="00E444CB" w:rsidP="00E444CB">
      <w:pPr>
        <w:pStyle w:val="ListParagraph"/>
        <w:numPr>
          <w:ilvl w:val="0"/>
          <w:numId w:val="15"/>
        </w:numPr>
        <w:spacing w:after="0" w:line="240" w:lineRule="auto"/>
        <w:rPr>
          <w:rFonts w:ascii="Arial" w:eastAsia="Calibri" w:hAnsi="Arial" w:cs="Times New Roman"/>
        </w:rPr>
      </w:pPr>
      <w:r w:rsidRPr="00D312F8">
        <w:rPr>
          <w:rFonts w:ascii="Arial" w:eastAsia="Calibri" w:hAnsi="Arial" w:cs="Times New Roman"/>
        </w:rPr>
        <w:t>% of calls abandoned before being answered in a quarter</w:t>
      </w:r>
      <w:r>
        <w:rPr>
          <w:rFonts w:ascii="Arial" w:eastAsia="Calibri" w:hAnsi="Arial" w:cs="Times New Roman"/>
        </w:rPr>
        <w:t>.</w:t>
      </w:r>
    </w:p>
    <w:p w:rsidR="0053102B" w:rsidP="0053102B">
      <w:pPr>
        <w:pStyle w:val="ListParagraph"/>
        <w:spacing w:after="0" w:line="240" w:lineRule="auto"/>
        <w:ind w:left="1440"/>
        <w:rPr>
          <w:rFonts w:ascii="Arial" w:eastAsia="Calibri" w:hAnsi="Arial" w:cs="Times New Roman"/>
        </w:rPr>
      </w:pPr>
    </w:p>
    <w:p w:rsidR="00E444CB" w:rsidP="00E444CB">
      <w:pPr>
        <w:pStyle w:val="ListParagraph"/>
        <w:numPr>
          <w:ilvl w:val="0"/>
          <w:numId w:val="8"/>
        </w:numPr>
        <w:spacing w:after="0" w:line="240" w:lineRule="auto"/>
        <w:rPr>
          <w:rFonts w:ascii="Arial" w:eastAsia="Calibri" w:hAnsi="Arial" w:cs="Times New Roman"/>
        </w:rPr>
      </w:pPr>
      <w:r>
        <w:rPr>
          <w:rFonts w:ascii="Arial" w:eastAsia="Calibri" w:hAnsi="Arial" w:cs="Times New Roman"/>
        </w:rPr>
        <w:t xml:space="preserve">Two </w:t>
      </w:r>
      <w:r>
        <w:rPr>
          <w:rFonts w:ascii="Arial" w:eastAsia="Calibri" w:hAnsi="Arial" w:cs="Times New Roman"/>
        </w:rPr>
        <w:t xml:space="preserve">performance </w:t>
      </w:r>
      <w:r w:rsidRPr="00D312F8">
        <w:rPr>
          <w:rFonts w:ascii="Arial" w:eastAsia="Calibri" w:hAnsi="Arial" w:cs="Times New Roman"/>
        </w:rPr>
        <w:t>measure</w:t>
      </w:r>
      <w:r>
        <w:rPr>
          <w:rFonts w:ascii="Arial" w:eastAsia="Calibri" w:hAnsi="Arial" w:cs="Times New Roman"/>
        </w:rPr>
        <w:t>s are rated off track but</w:t>
      </w:r>
      <w:r w:rsidRPr="00D312F8">
        <w:rPr>
          <w:rFonts w:ascii="Arial" w:eastAsia="Calibri" w:hAnsi="Arial" w:cs="Times New Roman"/>
        </w:rPr>
        <w:t xml:space="preserve"> within</w:t>
      </w:r>
      <w:r>
        <w:rPr>
          <w:rFonts w:ascii="Arial" w:eastAsia="Calibri" w:hAnsi="Arial" w:cs="Times New Roman"/>
        </w:rPr>
        <w:t xml:space="preserve"> </w:t>
      </w:r>
      <w:r w:rsidRPr="00D312F8">
        <w:rPr>
          <w:rFonts w:ascii="Arial" w:eastAsia="Calibri" w:hAnsi="Arial" w:cs="Times New Roman"/>
        </w:rPr>
        <w:t xml:space="preserve">threshold: </w:t>
      </w:r>
    </w:p>
    <w:p w:rsidR="0053102B" w:rsidP="0053102B">
      <w:pPr>
        <w:pStyle w:val="ListParagraph"/>
        <w:spacing w:after="0" w:line="240" w:lineRule="auto"/>
        <w:ind w:left="360"/>
        <w:rPr>
          <w:rFonts w:ascii="Arial" w:eastAsia="Calibri" w:hAnsi="Arial" w:cs="Times New Roman"/>
        </w:rPr>
      </w:pPr>
    </w:p>
    <w:p w:rsidR="00E444CB" w:rsidRPr="005B6F9D" w:rsidP="00E444CB">
      <w:pPr>
        <w:pStyle w:val="ListParagraph"/>
        <w:numPr>
          <w:ilvl w:val="0"/>
          <w:numId w:val="15"/>
        </w:numPr>
        <w:spacing w:after="0" w:line="240" w:lineRule="auto"/>
        <w:rPr>
          <w:rFonts w:ascii="Arial" w:eastAsia="Calibri" w:hAnsi="Arial" w:cs="Times New Roman"/>
        </w:rPr>
      </w:pPr>
      <w:r w:rsidRPr="005B6F9D">
        <w:rPr>
          <w:rFonts w:ascii="Arial" w:eastAsia="Calibri" w:hAnsi="Arial" w:cs="Times New Roman"/>
        </w:rPr>
        <w:t>Percentage of Council Tax collected (Cumulative YTD)</w:t>
      </w:r>
      <w:r>
        <w:rPr>
          <w:rFonts w:ascii="Arial" w:eastAsia="Calibri" w:hAnsi="Arial" w:cs="Times New Roman"/>
        </w:rPr>
        <w:t>,</w:t>
      </w:r>
    </w:p>
    <w:p w:rsidR="00E444CB" w:rsidP="00E444CB">
      <w:pPr>
        <w:numPr>
          <w:ilvl w:val="0"/>
          <w:numId w:val="15"/>
        </w:numPr>
        <w:spacing w:after="0" w:line="240" w:lineRule="auto"/>
        <w:rPr>
          <w:rFonts w:ascii="Arial" w:eastAsia="Calibri" w:hAnsi="Arial" w:cs="Times New Roman"/>
        </w:rPr>
      </w:pPr>
      <w:r w:rsidRPr="00875E57">
        <w:rPr>
          <w:rFonts w:ascii="Arial" w:eastAsia="Calibri" w:hAnsi="Arial" w:cs="Times New Roman"/>
        </w:rPr>
        <w:t>Percentage of Business Rates (Cumulative YTD)</w:t>
      </w:r>
      <w:r>
        <w:rPr>
          <w:rFonts w:ascii="Arial" w:eastAsia="Calibri" w:hAnsi="Arial" w:cs="Times New Roman"/>
        </w:rPr>
        <w:t>.</w:t>
      </w:r>
    </w:p>
    <w:p w:rsidR="00E444CB" w:rsidRPr="00201F8E" w:rsidP="00E444CB">
      <w:pPr>
        <w:spacing w:after="0" w:line="240" w:lineRule="auto"/>
        <w:ind w:left="1440"/>
        <w:rPr>
          <w:rFonts w:ascii="Arial" w:eastAsia="Calibri" w:hAnsi="Arial" w:cs="Times New Roman"/>
        </w:rPr>
      </w:pPr>
    </w:p>
    <w:p w:rsidR="00E444CB" w:rsidRPr="00CA5E67" w:rsidP="00E444CB">
      <w:pPr>
        <w:pStyle w:val="ListParagraph"/>
        <w:numPr>
          <w:ilvl w:val="0"/>
          <w:numId w:val="8"/>
        </w:numPr>
        <w:rPr>
          <w:rFonts w:ascii="Arial" w:eastAsia="Times New Roman" w:hAnsi="Arial" w:cs="Arial"/>
          <w:lang w:eastAsia="en-GB"/>
        </w:rPr>
      </w:pPr>
      <w:r w:rsidRPr="00CA5E67">
        <w:rPr>
          <w:rFonts w:ascii="Arial" w:eastAsia="Times New Roman" w:hAnsi="Arial" w:cs="Arial"/>
          <w:lang w:eastAsia="en-GB"/>
        </w:rPr>
        <w:t>One performance measure</w:t>
      </w:r>
      <w:r w:rsidRPr="00866240">
        <w:rPr>
          <w:rFonts w:ascii="Arial" w:eastAsia="Times New Roman" w:hAnsi="Arial" w:cs="Arial"/>
          <w:lang w:eastAsia="en-GB"/>
        </w:rPr>
        <w:t xml:space="preserve"> is rated off track and are performing worse than target, outside </w:t>
      </w:r>
      <w:r w:rsidRPr="00CA5E67">
        <w:rPr>
          <w:rFonts w:ascii="Arial" w:eastAsia="Times New Roman" w:hAnsi="Arial" w:cs="Arial"/>
          <w:lang w:eastAsia="en-GB"/>
        </w:rPr>
        <w:t>threshold:</w:t>
      </w:r>
    </w:p>
    <w:p w:rsidR="00E444CB" w:rsidRPr="00DF3490" w:rsidP="00E444CB">
      <w:pPr>
        <w:numPr>
          <w:ilvl w:val="0"/>
          <w:numId w:val="15"/>
        </w:numPr>
        <w:spacing w:after="0" w:line="240" w:lineRule="auto"/>
        <w:rPr>
          <w:rFonts w:ascii="Arial" w:eastAsia="Calibri" w:hAnsi="Arial" w:cs="Times New Roman"/>
        </w:rPr>
      </w:pPr>
      <w:r w:rsidRPr="00201F8E">
        <w:rPr>
          <w:rFonts w:eastAsia="Calibri" w:cs="Times New Roman"/>
        </w:rPr>
        <w:t>Number of households in temporary accommodation at the end of the quarter</w:t>
      </w:r>
      <w:r>
        <w:rPr>
          <w:rFonts w:eastAsia="Calibri" w:cs="Times New Roman"/>
        </w:rPr>
        <w:t>,</w:t>
      </w:r>
      <w:r w:rsidRPr="00201F8E">
        <w:rPr>
          <w:rFonts w:eastAsia="Calibri" w:cs="Times New Roman"/>
        </w:rPr>
        <w:t xml:space="preserve">  </w:t>
      </w:r>
    </w:p>
    <w:p w:rsidR="00E444CB" w:rsidRPr="002936BC" w:rsidP="00E444CB">
      <w:pPr>
        <w:pStyle w:val="ListParagraph"/>
        <w:ind w:left="1440"/>
        <w:rPr>
          <w:rFonts w:ascii="Arial" w:eastAsia="Calibri" w:hAnsi="Arial" w:cs="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134"/>
        <w:gridCol w:w="1134"/>
        <w:gridCol w:w="1560"/>
        <w:gridCol w:w="1134"/>
        <w:gridCol w:w="1134"/>
        <w:gridCol w:w="1417"/>
      </w:tblGrid>
      <w:tr w:rsidTr="00E444CB">
        <w:tblPrEx>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54"/>
        </w:trPr>
        <w:tc>
          <w:tcPr>
            <w:tcW w:w="2410" w:type="dxa"/>
            <w:shd w:val="clear" w:color="auto" w:fill="BFBFBF"/>
            <w:vAlign w:val="center"/>
          </w:tcPr>
          <w:p w:rsidR="00E444CB" w:rsidRPr="00826EB3" w:rsidP="00E444CB">
            <w:pPr>
              <w:widowControl w:val="0"/>
              <w:spacing w:after="160" w:line="259" w:lineRule="auto"/>
              <w:contextualSpacing/>
              <w:outlineLvl w:val="0"/>
              <w:rPr>
                <w:b/>
                <w:bCs/>
              </w:rPr>
            </w:pPr>
            <w:r w:rsidRPr="00826EB3">
              <w:rPr>
                <w:b/>
                <w:bCs/>
              </w:rPr>
              <w:t>Key Performance Indicator</w:t>
            </w:r>
          </w:p>
        </w:tc>
        <w:tc>
          <w:tcPr>
            <w:tcW w:w="1134" w:type="dxa"/>
            <w:shd w:val="clear" w:color="auto" w:fill="BFBFBF"/>
            <w:vAlign w:val="center"/>
          </w:tcPr>
          <w:p w:rsidR="00E444CB" w:rsidRPr="00826EB3" w:rsidP="00E444CB">
            <w:pPr>
              <w:widowControl w:val="0"/>
              <w:spacing w:after="0" w:line="257" w:lineRule="auto"/>
              <w:outlineLvl w:val="0"/>
              <w:rPr>
                <w:b/>
                <w:bCs/>
              </w:rPr>
            </w:pPr>
            <w:r w:rsidRPr="00922885">
              <w:rPr>
                <w:rFonts w:eastAsia="Calibri" w:cs="Times New Roman"/>
                <w:b/>
                <w:bCs/>
              </w:rPr>
              <w:t>Polarity</w:t>
            </w:r>
          </w:p>
        </w:tc>
        <w:tc>
          <w:tcPr>
            <w:tcW w:w="1134" w:type="dxa"/>
            <w:shd w:val="clear" w:color="auto" w:fill="BFBFBF"/>
            <w:vAlign w:val="center"/>
          </w:tcPr>
          <w:p w:rsidR="00E444CB" w:rsidRPr="00826EB3" w:rsidP="00E444CB">
            <w:pPr>
              <w:widowControl w:val="0"/>
              <w:spacing w:after="0" w:line="257" w:lineRule="auto"/>
              <w:outlineLvl w:val="0"/>
              <w:rPr>
                <w:b/>
                <w:bCs/>
              </w:rPr>
            </w:pPr>
            <w:r w:rsidRPr="00826EB3">
              <w:rPr>
                <w:b/>
                <w:bCs/>
              </w:rPr>
              <w:t>Target</w:t>
            </w:r>
          </w:p>
        </w:tc>
        <w:tc>
          <w:tcPr>
            <w:tcW w:w="1560" w:type="dxa"/>
            <w:shd w:val="clear" w:color="auto" w:fill="BFBFBF"/>
            <w:vAlign w:val="center"/>
          </w:tcPr>
          <w:p w:rsidR="00E444CB" w:rsidRPr="00826EB3" w:rsidP="00E444CB">
            <w:pPr>
              <w:widowControl w:val="0"/>
              <w:spacing w:after="0" w:line="257" w:lineRule="auto"/>
              <w:jc w:val="center"/>
              <w:outlineLvl w:val="0"/>
              <w:rPr>
                <w:b/>
                <w:bCs/>
              </w:rPr>
            </w:pPr>
            <w:r w:rsidRPr="00826EB3">
              <w:rPr>
                <w:b/>
                <w:bCs/>
              </w:rPr>
              <w:t>Comparable Period</w:t>
            </w:r>
          </w:p>
        </w:tc>
        <w:tc>
          <w:tcPr>
            <w:tcW w:w="1134" w:type="dxa"/>
            <w:shd w:val="clear" w:color="auto" w:fill="BFBFBF"/>
            <w:vAlign w:val="center"/>
          </w:tcPr>
          <w:p w:rsidR="00E444CB" w:rsidRPr="00F12C84" w:rsidP="00E444CB">
            <w:pPr>
              <w:widowControl w:val="0"/>
              <w:spacing w:after="0" w:line="240" w:lineRule="auto"/>
              <w:contextualSpacing/>
              <w:jc w:val="center"/>
              <w:outlineLvl w:val="0"/>
              <w:rPr>
                <w:rFonts w:eastAsia="Calibri" w:cs="Times New Roman"/>
                <w:b/>
                <w:bCs/>
              </w:rPr>
            </w:pPr>
            <w:r w:rsidRPr="00F12C84">
              <w:rPr>
                <w:rFonts w:eastAsia="Calibri" w:cs="Times New Roman"/>
                <w:b/>
                <w:bCs/>
              </w:rPr>
              <w:t xml:space="preserve">Quarter </w:t>
            </w:r>
            <w:r>
              <w:rPr>
                <w:rFonts w:eastAsia="Calibri" w:cs="Times New Roman"/>
                <w:b/>
                <w:bCs/>
              </w:rPr>
              <w:t>3</w:t>
            </w:r>
          </w:p>
          <w:p w:rsidR="00E444CB" w:rsidRPr="00826EB3" w:rsidP="00E444CB">
            <w:pPr>
              <w:widowControl w:val="0"/>
              <w:spacing w:after="0" w:line="257" w:lineRule="auto"/>
              <w:jc w:val="center"/>
              <w:outlineLvl w:val="0"/>
              <w:rPr>
                <w:b/>
                <w:bCs/>
              </w:rPr>
            </w:pPr>
            <w:r w:rsidRPr="00F12C84">
              <w:rPr>
                <w:rFonts w:eastAsia="Calibri" w:cs="Times New Roman"/>
                <w:b/>
                <w:bCs/>
              </w:rPr>
              <w:t>202</w:t>
            </w:r>
            <w:r>
              <w:rPr>
                <w:rFonts w:eastAsia="Calibri" w:cs="Times New Roman"/>
                <w:b/>
                <w:bCs/>
              </w:rPr>
              <w:t>1/22</w:t>
            </w:r>
          </w:p>
        </w:tc>
        <w:tc>
          <w:tcPr>
            <w:tcW w:w="1134" w:type="dxa"/>
            <w:shd w:val="clear" w:color="auto" w:fill="BFBFBF"/>
            <w:vAlign w:val="center"/>
          </w:tcPr>
          <w:p w:rsidR="00E444CB" w:rsidRPr="00826EB3" w:rsidP="00E444CB">
            <w:pPr>
              <w:widowControl w:val="0"/>
              <w:spacing w:after="0" w:line="257" w:lineRule="auto"/>
              <w:jc w:val="center"/>
              <w:outlineLvl w:val="0"/>
              <w:rPr>
                <w:b/>
                <w:bCs/>
              </w:rPr>
            </w:pPr>
            <w:r w:rsidRPr="00826EB3">
              <w:rPr>
                <w:b/>
                <w:bCs/>
              </w:rPr>
              <w:t xml:space="preserve">Symbol </w:t>
            </w:r>
          </w:p>
        </w:tc>
        <w:tc>
          <w:tcPr>
            <w:tcW w:w="1417" w:type="dxa"/>
            <w:shd w:val="clear" w:color="auto" w:fill="BFBFBF"/>
            <w:vAlign w:val="center"/>
          </w:tcPr>
          <w:p w:rsidR="00E444CB" w:rsidRPr="00826EB3" w:rsidP="00E444CB">
            <w:pPr>
              <w:widowControl w:val="0"/>
              <w:spacing w:after="0" w:line="257" w:lineRule="auto"/>
              <w:jc w:val="center"/>
              <w:outlineLvl w:val="0"/>
              <w:rPr>
                <w:b/>
                <w:bCs/>
              </w:rPr>
            </w:pPr>
            <w:r w:rsidRPr="00826EB3">
              <w:rPr>
                <w:b/>
                <w:bCs/>
              </w:rPr>
              <w:t>Trend</w:t>
            </w:r>
          </w:p>
        </w:tc>
      </w:tr>
      <w:tr w:rsidTr="00237D41">
        <w:tblPrEx>
          <w:tblW w:w="9923" w:type="dxa"/>
          <w:tblInd w:w="-5" w:type="dxa"/>
          <w:tblLayout w:type="fixed"/>
          <w:tblLook w:val="04A0"/>
        </w:tblPrEx>
        <w:trPr>
          <w:trHeight w:val="834"/>
        </w:trPr>
        <w:tc>
          <w:tcPr>
            <w:tcW w:w="2410" w:type="dxa"/>
            <w:shd w:val="clear" w:color="auto" w:fill="auto"/>
            <w:vAlign w:val="center"/>
          </w:tcPr>
          <w:p w:rsidR="00237D41" w:rsidRPr="00237D41" w:rsidP="00237D41">
            <w:pPr>
              <w:spacing w:after="240" w:line="240" w:lineRule="auto"/>
              <w:rPr>
                <w:rFonts w:eastAsia="Calibri" w:cs="Times New Roman"/>
              </w:rPr>
            </w:pPr>
            <w:r w:rsidRPr="000D43B3">
              <w:rPr>
                <w:rFonts w:eastAsia="Calibri" w:cs="Times New Roman"/>
              </w:rPr>
              <w:t>Number of households in temporary accommodation at the end of the quarter</w:t>
            </w:r>
          </w:p>
        </w:tc>
        <w:tc>
          <w:tcPr>
            <w:tcW w:w="1134" w:type="dxa"/>
            <w:vAlign w:val="center"/>
          </w:tcPr>
          <w:p w:rsidR="00E444CB" w:rsidP="00237D41">
            <w:pPr>
              <w:widowControl w:val="0"/>
              <w:spacing w:after="240" w:line="256" w:lineRule="auto"/>
              <w:contextualSpacing/>
              <w:jc w:val="center"/>
              <w:outlineLvl w:val="0"/>
            </w:pPr>
            <w:r w:rsidRPr="007D5CCB">
              <w:rPr>
                <w:rFonts w:eastAsia="Calibri" w:cs="Times New Roman"/>
              </w:rPr>
              <w:t>Smaller is better</w:t>
            </w:r>
          </w:p>
        </w:tc>
        <w:tc>
          <w:tcPr>
            <w:tcW w:w="1134" w:type="dxa"/>
            <w:shd w:val="clear" w:color="auto" w:fill="auto"/>
            <w:vAlign w:val="center"/>
          </w:tcPr>
          <w:p w:rsidR="00E444CB" w:rsidRPr="00826EB3" w:rsidP="00237D41">
            <w:pPr>
              <w:widowControl w:val="0"/>
              <w:spacing w:after="240" w:line="256" w:lineRule="auto"/>
              <w:contextualSpacing/>
              <w:jc w:val="center"/>
              <w:outlineLvl w:val="0"/>
            </w:pPr>
            <w:r>
              <w:t>Target to improve trend</w:t>
            </w:r>
          </w:p>
        </w:tc>
        <w:tc>
          <w:tcPr>
            <w:tcW w:w="1560" w:type="dxa"/>
            <w:shd w:val="clear" w:color="auto" w:fill="auto"/>
            <w:vAlign w:val="center"/>
          </w:tcPr>
          <w:p w:rsidR="00E444CB" w:rsidP="00237D41">
            <w:pPr>
              <w:widowControl w:val="0"/>
              <w:spacing w:after="240" w:line="240" w:lineRule="auto"/>
              <w:contextualSpacing/>
              <w:jc w:val="center"/>
              <w:outlineLvl w:val="0"/>
            </w:pPr>
            <w:r>
              <w:t>44</w:t>
            </w:r>
          </w:p>
          <w:p w:rsidR="00E444CB" w:rsidRPr="00826EB3" w:rsidP="00237D41">
            <w:pPr>
              <w:widowControl w:val="0"/>
              <w:spacing w:after="240" w:line="240" w:lineRule="auto"/>
              <w:contextualSpacing/>
              <w:jc w:val="center"/>
              <w:outlineLvl w:val="0"/>
            </w:pPr>
            <w:r>
              <w:t>(Q2:2021/22)</w:t>
            </w:r>
          </w:p>
        </w:tc>
        <w:tc>
          <w:tcPr>
            <w:tcW w:w="1134" w:type="dxa"/>
            <w:shd w:val="clear" w:color="auto" w:fill="auto"/>
            <w:vAlign w:val="center"/>
          </w:tcPr>
          <w:p w:rsidR="00E444CB" w:rsidRPr="00826EB3" w:rsidP="00237D41">
            <w:pPr>
              <w:widowControl w:val="0"/>
              <w:spacing w:after="240" w:line="259" w:lineRule="auto"/>
              <w:contextualSpacing/>
              <w:jc w:val="center"/>
              <w:outlineLvl w:val="0"/>
              <w:rPr>
                <w:b/>
                <w:bCs/>
              </w:rPr>
            </w:pPr>
            <w:r>
              <w:rPr>
                <w:b/>
                <w:bCs/>
              </w:rPr>
              <w:t>51</w:t>
            </w:r>
          </w:p>
        </w:tc>
        <w:tc>
          <w:tcPr>
            <w:tcW w:w="1134" w:type="dxa"/>
            <w:tcBorders>
              <w:top w:val="single" w:sz="8" w:space="0" w:color="auto"/>
              <w:left w:val="single" w:sz="8" w:space="0" w:color="auto"/>
              <w:bottom w:val="single" w:sz="8" w:space="0" w:color="auto"/>
              <w:right w:val="single" w:sz="8" w:space="0" w:color="auto"/>
            </w:tcBorders>
            <w:vAlign w:val="center"/>
          </w:tcPr>
          <w:p w:rsidR="00E444CB" w:rsidRPr="00826EB3" w:rsidP="00237D41">
            <w:pPr>
              <w:widowControl w:val="0"/>
              <w:spacing w:after="240" w:line="259" w:lineRule="auto"/>
              <w:contextualSpacing/>
              <w:jc w:val="center"/>
              <w:outlineLvl w:val="0"/>
            </w:pPr>
            <w:r w:rsidRPr="00F12C84">
              <w:rPr>
                <w:rFonts w:ascii="Wingdings 3" w:eastAsia="Arial" w:hAnsi="Wingdings 3" w:cs="Times New Roman"/>
                <w:color w:val="FF0000"/>
                <w:sz w:val="32"/>
              </w:rPr>
              <w:sym w:font="Wingdings 3" w:char="F070"/>
            </w:r>
          </w:p>
        </w:tc>
        <w:tc>
          <w:tcPr>
            <w:tcW w:w="1417" w:type="dxa"/>
            <w:tcBorders>
              <w:top w:val="single" w:sz="8" w:space="0" w:color="auto"/>
              <w:left w:val="single" w:sz="8" w:space="0" w:color="auto"/>
              <w:bottom w:val="single" w:sz="8" w:space="0" w:color="auto"/>
              <w:right w:val="single" w:sz="8" w:space="0" w:color="auto"/>
            </w:tcBorders>
            <w:vAlign w:val="center"/>
          </w:tcPr>
          <w:p w:rsidR="00E444CB" w:rsidRPr="00AC39D2" w:rsidP="00237D41">
            <w:pPr>
              <w:widowControl w:val="0"/>
              <w:spacing w:after="240" w:line="256" w:lineRule="auto"/>
              <w:contextualSpacing/>
              <w:jc w:val="center"/>
              <w:outlineLvl w:val="0"/>
              <w:rPr>
                <w:rFonts w:eastAsia="Calibri" w:cs="Times New Roman"/>
                <w:color w:val="00B050"/>
              </w:rPr>
            </w:pPr>
            <w:r w:rsidRPr="00AC39D2">
              <w:rPr>
                <w:rFonts w:eastAsia="Calibri" w:cs="Times New Roman"/>
                <w:color w:val="00B050"/>
              </w:rPr>
              <w:t>Better than Q3:2020/21</w:t>
            </w:r>
          </w:p>
        </w:tc>
      </w:tr>
      <w:tr w:rsidTr="00E444CB">
        <w:tblPrEx>
          <w:tblW w:w="9923" w:type="dxa"/>
          <w:tblInd w:w="-5" w:type="dxa"/>
          <w:tblLayout w:type="fixed"/>
          <w:tblLook w:val="04A0"/>
        </w:tblPrEx>
        <w:trPr>
          <w:trHeight w:val="132"/>
        </w:trPr>
        <w:tc>
          <w:tcPr>
            <w:tcW w:w="2410" w:type="dxa"/>
            <w:shd w:val="clear" w:color="auto" w:fill="auto"/>
          </w:tcPr>
          <w:p w:rsidR="00E444CB" w:rsidP="00E444CB">
            <w:pPr>
              <w:spacing w:after="0" w:line="240" w:lineRule="auto"/>
              <w:rPr>
                <w:color w:val="FF0000"/>
              </w:rPr>
            </w:pPr>
            <w:r>
              <w:rPr>
                <w:rFonts w:ascii="Arial" w:eastAsia="Calibri" w:hAnsi="Arial" w:cs="Times New Roman"/>
                <w:b/>
                <w:bCs/>
              </w:rPr>
              <w:t>Action Plan</w:t>
            </w:r>
            <w:r w:rsidRPr="00826EB3">
              <w:rPr>
                <w:rFonts w:ascii="Arial" w:eastAsia="Calibri" w:hAnsi="Arial" w:cs="Times New Roman"/>
                <w:b/>
                <w:bCs/>
              </w:rPr>
              <w:t>:</w:t>
            </w:r>
          </w:p>
        </w:tc>
        <w:tc>
          <w:tcPr>
            <w:tcW w:w="7513" w:type="dxa"/>
            <w:gridSpan w:val="6"/>
            <w:tcBorders>
              <w:top w:val="single" w:sz="4" w:space="0" w:color="auto"/>
              <w:left w:val="single" w:sz="4" w:space="0" w:color="auto"/>
              <w:bottom w:val="single" w:sz="4" w:space="0" w:color="auto"/>
              <w:right w:val="single" w:sz="4" w:space="0" w:color="auto"/>
            </w:tcBorders>
            <w:vAlign w:val="center"/>
          </w:tcPr>
          <w:p w:rsidR="00E444CB" w:rsidP="00E444CB">
            <w:pPr>
              <w:spacing w:after="0" w:line="240" w:lineRule="auto"/>
            </w:pPr>
            <w:r w:rsidRPr="00A30CB3">
              <w:t xml:space="preserve">There has been an increase in the number of households in temporary </w:t>
            </w:r>
            <w:r w:rsidRPr="00A30CB3">
              <w:t>accommodation</w:t>
            </w:r>
            <w:r>
              <w:t xml:space="preserve">, which </w:t>
            </w:r>
            <w:r w:rsidRPr="00A30CB3">
              <w:t xml:space="preserve"> consists of people that the Council has a statutory duty to accommodate and also those that  would not </w:t>
            </w:r>
            <w:r>
              <w:t xml:space="preserve">usually </w:t>
            </w:r>
            <w:r w:rsidRPr="00A30CB3">
              <w:t>be accommodated</w:t>
            </w:r>
            <w:r>
              <w:t>, but are being accommodated currently due to th</w:t>
            </w:r>
            <w:r w:rsidRPr="00A30CB3">
              <w:t>e</w:t>
            </w:r>
            <w:r>
              <w:t xml:space="preserve"> </w:t>
            </w:r>
            <w:r w:rsidRPr="00A30CB3">
              <w:t xml:space="preserve">cold/serve weather provision and the rise in the Omicron </w:t>
            </w:r>
            <w:r w:rsidRPr="00A30CB3">
              <w:t>C</w:t>
            </w:r>
            <w:r w:rsidRPr="00A30CB3">
              <w:t>ovid</w:t>
            </w:r>
            <w:r w:rsidRPr="00A30CB3">
              <w:t xml:space="preserve"> variant</w:t>
            </w:r>
            <w:r>
              <w:t>. In addition, there is a lack of suitable accommodation as the social housing register has long waiting times and the private rental sector properties are in short supply with limited options for those with complex needs. Therefore, more hotel</w:t>
            </w:r>
            <w:r>
              <w:t xml:space="preserve"> accommodation is being used as an alternative.</w:t>
            </w:r>
          </w:p>
          <w:p w:rsidR="00E444CB" w:rsidP="00E444CB">
            <w:pPr>
              <w:spacing w:after="0" w:line="240" w:lineRule="auto"/>
            </w:pPr>
          </w:p>
          <w:p w:rsidR="00E444CB" w:rsidP="00E444CB">
            <w:pPr>
              <w:spacing w:after="0" w:line="240" w:lineRule="auto"/>
              <w:rPr>
                <w:rFonts w:ascii="Helvetica" w:hAnsi="Helvetica"/>
                <w:color w:val="323232"/>
                <w:sz w:val="21"/>
                <w:szCs w:val="21"/>
                <w:shd w:val="clear" w:color="auto" w:fill="FFFFFF"/>
              </w:rPr>
            </w:pPr>
            <w:r>
              <w:t>Those in temporary accommodation all have personal housing plans, which are discussed at monthly meeting to further support people to move on. Regular visits to those in temporary accommodation have been int</w:t>
            </w:r>
            <w:r>
              <w:t xml:space="preserve">roduced to address any barriers that may exist to moving into a placement and housing. Floating support is also provided through Excel Housing Solutions to support individuals </w:t>
            </w:r>
            <w:r w:rsidRPr="009A20BE">
              <w:t xml:space="preserve">with issues </w:t>
            </w:r>
            <w:r>
              <w:t xml:space="preserve">not linked to accommodation </w:t>
            </w:r>
            <w:r w:rsidRPr="009A20BE">
              <w:t>such as budgeting</w:t>
            </w:r>
            <w:r>
              <w:t xml:space="preserve"> and </w:t>
            </w:r>
            <w:r w:rsidRPr="009A20BE">
              <w:t>life skills</w:t>
            </w:r>
            <w:r>
              <w:t>.</w:t>
            </w:r>
            <w:r>
              <w:rPr>
                <w:rFonts w:ascii="Helvetica" w:hAnsi="Helvetica"/>
                <w:color w:val="323232"/>
                <w:sz w:val="21"/>
                <w:szCs w:val="21"/>
                <w:shd w:val="clear" w:color="auto" w:fill="FFFFFF"/>
              </w:rPr>
              <w:t> </w:t>
            </w:r>
          </w:p>
          <w:p w:rsidR="00237D41" w:rsidRPr="00CE5027" w:rsidP="00E444CB">
            <w:pPr>
              <w:spacing w:after="0" w:line="240" w:lineRule="auto"/>
              <w:rPr>
                <w:rFonts w:ascii="Helvetica" w:hAnsi="Helvetica"/>
                <w:color w:val="323232"/>
                <w:sz w:val="21"/>
                <w:szCs w:val="21"/>
                <w:shd w:val="clear" w:color="auto" w:fill="FFFFFF"/>
              </w:rPr>
            </w:pPr>
          </w:p>
        </w:tc>
      </w:tr>
    </w:tbl>
    <w:p w:rsidR="00E444CB" w:rsidP="00E444CB">
      <w:pPr>
        <w:pStyle w:val="Heading2"/>
        <w:rPr>
          <w:rFonts w:asciiTheme="majorHAnsi" w:hAnsiTheme="majorHAnsi" w:cstheme="majorHAnsi"/>
          <w:sz w:val="22"/>
          <w:szCs w:val="22"/>
        </w:rPr>
      </w:pPr>
      <w:r w:rsidRPr="00D76688">
        <w:rPr>
          <w:rFonts w:asciiTheme="majorHAnsi" w:hAnsiTheme="majorHAnsi" w:cstheme="majorHAnsi"/>
          <w:sz w:val="22"/>
          <w:szCs w:val="22"/>
        </w:rPr>
        <w:t>PE</w:t>
      </w:r>
      <w:r w:rsidRPr="00D76688">
        <w:rPr>
          <w:rFonts w:asciiTheme="majorHAnsi" w:hAnsiTheme="majorHAnsi" w:cstheme="majorHAnsi"/>
          <w:sz w:val="22"/>
          <w:szCs w:val="22"/>
        </w:rPr>
        <w:t>RFORMANCE OF THE RESIDENTS’ SURVEY MEASURES</w:t>
      </w:r>
    </w:p>
    <w:p w:rsidR="00E444CB" w:rsidP="00E444CB">
      <w:pPr>
        <w:pStyle w:val="ListParagraph"/>
        <w:numPr>
          <w:ilvl w:val="0"/>
          <w:numId w:val="8"/>
        </w:numPr>
        <w:ind w:left="502"/>
        <w:rPr>
          <w:rFonts w:ascii="Arial" w:hAnsi="Arial" w:cs="Arial"/>
        </w:rPr>
      </w:pPr>
      <w:r w:rsidRPr="00BF1B84">
        <w:rPr>
          <w:rFonts w:ascii="Arial" w:hAnsi="Arial" w:cs="Arial"/>
        </w:rPr>
        <w:t>A resident</w:t>
      </w:r>
      <w:r>
        <w:rPr>
          <w:rFonts w:ascii="Arial" w:hAnsi="Arial" w:cs="Arial"/>
        </w:rPr>
        <w:t>s’</w:t>
      </w:r>
      <w:r w:rsidRPr="00BF1B84">
        <w:rPr>
          <w:rFonts w:ascii="Arial" w:hAnsi="Arial" w:cs="Arial"/>
        </w:rPr>
        <w:t xml:space="preserve"> satisfaction survey was undertaken </w:t>
      </w:r>
      <w:r>
        <w:rPr>
          <w:rFonts w:ascii="Arial" w:hAnsi="Arial" w:cs="Arial"/>
        </w:rPr>
        <w:t>between</w:t>
      </w:r>
      <w:r w:rsidRPr="00BF1B84">
        <w:rPr>
          <w:rFonts w:ascii="Arial" w:hAnsi="Arial" w:cs="Arial"/>
        </w:rPr>
        <w:t xml:space="preserve"> November 2021</w:t>
      </w:r>
      <w:r>
        <w:rPr>
          <w:rFonts w:ascii="Arial" w:hAnsi="Arial" w:cs="Arial"/>
        </w:rPr>
        <w:t xml:space="preserve"> and January 2022 </w:t>
      </w:r>
      <w:r w:rsidRPr="00BF1B84">
        <w:rPr>
          <w:rFonts w:ascii="Arial" w:hAnsi="Arial" w:cs="Arial"/>
        </w:rPr>
        <w:t>to</w:t>
      </w:r>
      <w:r>
        <w:rPr>
          <w:rFonts w:ascii="Arial" w:hAnsi="Arial" w:cs="Arial"/>
        </w:rPr>
        <w:t xml:space="preserve"> understand the</w:t>
      </w:r>
      <w:r w:rsidRPr="00BF1B84">
        <w:rPr>
          <w:rFonts w:ascii="Arial" w:hAnsi="Arial" w:cs="Arial"/>
        </w:rPr>
        <w:t xml:space="preserve"> views of residents about the local area</w:t>
      </w:r>
      <w:r>
        <w:rPr>
          <w:rFonts w:ascii="Arial" w:hAnsi="Arial" w:cs="Arial"/>
        </w:rPr>
        <w:t xml:space="preserve"> and</w:t>
      </w:r>
      <w:r w:rsidRPr="00BF1B84">
        <w:rPr>
          <w:rFonts w:ascii="Arial" w:hAnsi="Arial" w:cs="Arial"/>
        </w:rPr>
        <w:t xml:space="preserve"> the </w:t>
      </w:r>
      <w:r>
        <w:rPr>
          <w:rFonts w:ascii="Arial" w:hAnsi="Arial" w:cs="Arial"/>
        </w:rPr>
        <w:t xml:space="preserve">impact and support needed for recovery from the </w:t>
      </w:r>
      <w:r w:rsidRPr="00BF1B84">
        <w:rPr>
          <w:rFonts w:ascii="Arial" w:hAnsi="Arial" w:cs="Arial"/>
        </w:rPr>
        <w:t>Coronavirus pandemic</w:t>
      </w:r>
      <w:r>
        <w:rPr>
          <w:rFonts w:ascii="Arial" w:hAnsi="Arial" w:cs="Arial"/>
        </w:rPr>
        <w:t xml:space="preserve">. </w:t>
      </w:r>
    </w:p>
    <w:p w:rsidR="00E444CB" w:rsidP="00E444CB">
      <w:pPr>
        <w:pStyle w:val="ListParagraph"/>
        <w:ind w:left="360"/>
        <w:rPr>
          <w:rFonts w:ascii="Arial" w:hAnsi="Arial" w:cs="Arial"/>
        </w:rPr>
      </w:pPr>
    </w:p>
    <w:p w:rsidR="00E444CB" w:rsidRPr="00675C08" w:rsidP="00E444CB">
      <w:pPr>
        <w:pStyle w:val="ListParagraph"/>
        <w:numPr>
          <w:ilvl w:val="0"/>
          <w:numId w:val="8"/>
        </w:numPr>
        <w:ind w:left="502"/>
        <w:rPr>
          <w:rFonts w:ascii="Arial" w:hAnsi="Arial" w:cs="Arial"/>
        </w:rPr>
      </w:pPr>
      <w:r w:rsidRPr="00675C08">
        <w:rPr>
          <w:rFonts w:ascii="Arial" w:hAnsi="Arial" w:cs="Arial"/>
        </w:rPr>
        <w:t xml:space="preserve">The survey was distributed to residents in November 2021 </w:t>
      </w:r>
      <w:r>
        <w:rPr>
          <w:rFonts w:ascii="Arial" w:hAnsi="Arial" w:cs="Arial"/>
        </w:rPr>
        <w:t>using an</w:t>
      </w:r>
      <w:r w:rsidRPr="00675C08">
        <w:rPr>
          <w:rFonts w:ascii="Arial" w:hAnsi="Arial" w:cs="Arial"/>
        </w:rPr>
        <w:t xml:space="preserve"> online questionnaire via Citizen Space advertised through the council’s social media network and a </w:t>
      </w:r>
      <w:r>
        <w:rPr>
          <w:rFonts w:ascii="Arial" w:hAnsi="Arial" w:cs="Arial"/>
        </w:rPr>
        <w:t>targeted random sam</w:t>
      </w:r>
      <w:r>
        <w:rPr>
          <w:rFonts w:ascii="Arial" w:hAnsi="Arial" w:cs="Arial"/>
        </w:rPr>
        <w:t xml:space="preserve">ple </w:t>
      </w:r>
      <w:r w:rsidRPr="00675C08">
        <w:rPr>
          <w:rFonts w:ascii="Arial" w:hAnsi="Arial" w:cs="Arial"/>
        </w:rPr>
        <w:t>posted to residents inviting them to complete the survey online with a unique code. The survey achieved a total of 1,191 responses, which is considered statistically valid with weightings applied to ensure findings are representative of the</w:t>
      </w:r>
      <w:r>
        <w:rPr>
          <w:rFonts w:ascii="Arial" w:hAnsi="Arial" w:cs="Arial"/>
        </w:rPr>
        <w:t xml:space="preserve"> borough</w:t>
      </w:r>
      <w:r w:rsidRPr="00675C08">
        <w:rPr>
          <w:rFonts w:ascii="Arial" w:hAnsi="Arial" w:cs="Arial"/>
        </w:rPr>
        <w:t xml:space="preserve"> pop</w:t>
      </w:r>
      <w:r w:rsidRPr="00675C08">
        <w:rPr>
          <w:rFonts w:ascii="Arial" w:hAnsi="Arial" w:cs="Arial"/>
        </w:rPr>
        <w:t>ulation</w:t>
      </w:r>
      <w:r>
        <w:rPr>
          <w:rFonts w:ascii="Arial" w:hAnsi="Arial" w:cs="Arial"/>
        </w:rPr>
        <w:t>.</w:t>
      </w:r>
    </w:p>
    <w:p w:rsidR="00E444CB" w:rsidRPr="004F4180" w:rsidP="00E444CB">
      <w:pPr>
        <w:pStyle w:val="ListParagraph"/>
        <w:ind w:left="502"/>
        <w:rPr>
          <w:rFonts w:ascii="Arial" w:hAnsi="Arial" w:cs="Arial"/>
        </w:rPr>
      </w:pPr>
    </w:p>
    <w:p w:rsidR="00E444CB" w:rsidP="00E444CB">
      <w:pPr>
        <w:pStyle w:val="ListParagraph"/>
        <w:numPr>
          <w:ilvl w:val="0"/>
          <w:numId w:val="8"/>
        </w:numPr>
        <w:ind w:left="502"/>
        <w:rPr>
          <w:rFonts w:ascii="Arial" w:eastAsia="Times New Roman" w:hAnsi="Arial" w:cs="Times New Roman"/>
          <w:szCs w:val="20"/>
        </w:rPr>
      </w:pPr>
      <w:r w:rsidRPr="00E52C0D">
        <w:rPr>
          <w:rFonts w:ascii="Arial" w:eastAsia="Times New Roman" w:hAnsi="Arial" w:cs="Times New Roman"/>
          <w:szCs w:val="20"/>
        </w:rPr>
        <w:t>The questionnaire asked residents to provide their views of the local area, the council and the services that the council provides. A number of the questions directly relate to key measures within the corporate strategy.</w:t>
      </w:r>
    </w:p>
    <w:p w:rsidR="00E444CB" w:rsidP="00E444CB">
      <w:pPr>
        <w:pStyle w:val="ListParagraph"/>
        <w:ind w:left="502"/>
        <w:rPr>
          <w:rFonts w:ascii="Arial" w:eastAsia="Times New Roman" w:hAnsi="Arial" w:cs="Times New Roman"/>
          <w:szCs w:val="20"/>
        </w:rPr>
      </w:pPr>
    </w:p>
    <w:p w:rsidR="00E444CB" w:rsidP="00E444CB">
      <w:pPr>
        <w:pStyle w:val="ListParagraph"/>
        <w:numPr>
          <w:ilvl w:val="0"/>
          <w:numId w:val="8"/>
        </w:numPr>
        <w:ind w:left="502"/>
        <w:rPr>
          <w:rFonts w:ascii="Arial" w:eastAsia="Times New Roman" w:hAnsi="Arial" w:cs="Times New Roman"/>
          <w:szCs w:val="20"/>
        </w:rPr>
      </w:pPr>
      <w:r>
        <w:rPr>
          <w:rFonts w:ascii="Arial" w:eastAsia="Times New Roman" w:hAnsi="Arial" w:cs="Times New Roman"/>
          <w:szCs w:val="20"/>
        </w:rPr>
        <w:t>Five o</w:t>
      </w:r>
      <w:r w:rsidRPr="00F17EAD">
        <w:rPr>
          <w:rFonts w:ascii="Arial" w:eastAsia="Times New Roman" w:hAnsi="Arial" w:cs="Times New Roman"/>
          <w:szCs w:val="20"/>
        </w:rPr>
        <w:t>f the eight corporate indicators performed above target</w:t>
      </w:r>
      <w:r>
        <w:rPr>
          <w:rFonts w:ascii="Arial" w:eastAsia="Times New Roman" w:hAnsi="Arial" w:cs="Times New Roman"/>
          <w:szCs w:val="20"/>
        </w:rPr>
        <w:t>:</w:t>
      </w:r>
    </w:p>
    <w:p w:rsidR="00E444CB" w:rsidRPr="00F55F10" w:rsidP="00E444CB">
      <w:pPr>
        <w:pStyle w:val="ListParagraph"/>
        <w:numPr>
          <w:ilvl w:val="0"/>
          <w:numId w:val="24"/>
        </w:numPr>
        <w:ind w:left="851"/>
        <w:rPr>
          <w:rFonts w:ascii="Arial" w:eastAsia="Times New Roman" w:hAnsi="Arial" w:cs="Times New Roman"/>
          <w:szCs w:val="20"/>
        </w:rPr>
      </w:pPr>
      <w:r>
        <w:t>The percentage of people satisfied with South Ribble as a place to live will increase,</w:t>
      </w:r>
    </w:p>
    <w:p w:rsidR="00E444CB" w:rsidRPr="00F55F10" w:rsidP="00E444CB">
      <w:pPr>
        <w:pStyle w:val="ListParagraph"/>
        <w:numPr>
          <w:ilvl w:val="0"/>
          <w:numId w:val="24"/>
        </w:numPr>
        <w:ind w:left="851"/>
        <w:rPr>
          <w:rFonts w:ascii="Arial" w:eastAsia="Times New Roman" w:hAnsi="Arial" w:cs="Times New Roman"/>
          <w:szCs w:val="20"/>
        </w:rPr>
      </w:pPr>
      <w:r>
        <w:t>The percentage of people who feel they belong to their local area will increase,</w:t>
      </w:r>
    </w:p>
    <w:p w:rsidR="00E444CB" w:rsidRPr="00F55F10" w:rsidP="00E444CB">
      <w:pPr>
        <w:pStyle w:val="ListParagraph"/>
        <w:numPr>
          <w:ilvl w:val="0"/>
          <w:numId w:val="24"/>
        </w:numPr>
        <w:ind w:left="851"/>
        <w:rPr>
          <w:rFonts w:ascii="Arial" w:eastAsia="Times New Roman" w:hAnsi="Arial" w:cs="Times New Roman"/>
          <w:szCs w:val="20"/>
        </w:rPr>
      </w:pPr>
      <w:r>
        <w:t>The percentage of people who th</w:t>
      </w:r>
      <w:r>
        <w:t>ink the Council acts on the concerns of local residents will increase,</w:t>
      </w:r>
    </w:p>
    <w:p w:rsidR="00E444CB" w:rsidRPr="00F55F10" w:rsidP="00E444CB">
      <w:pPr>
        <w:pStyle w:val="ListParagraph"/>
        <w:numPr>
          <w:ilvl w:val="0"/>
          <w:numId w:val="24"/>
        </w:numPr>
        <w:ind w:left="851"/>
        <w:rPr>
          <w:rFonts w:ascii="Arial" w:eastAsia="Times New Roman" w:hAnsi="Arial" w:cs="Times New Roman"/>
          <w:szCs w:val="20"/>
        </w:rPr>
      </w:pPr>
      <w:r>
        <w:t>The percentage of people who feel safe when outside in their local during the day will increase,</w:t>
      </w:r>
    </w:p>
    <w:p w:rsidR="00E444CB" w:rsidRPr="00F55F10" w:rsidP="00E444CB">
      <w:pPr>
        <w:pStyle w:val="ListParagraph"/>
        <w:numPr>
          <w:ilvl w:val="0"/>
          <w:numId w:val="24"/>
        </w:numPr>
        <w:ind w:left="851"/>
        <w:rPr>
          <w:rFonts w:ascii="Arial" w:eastAsia="Times New Roman" w:hAnsi="Arial" w:cs="Times New Roman"/>
          <w:szCs w:val="20"/>
        </w:rPr>
      </w:pPr>
      <w:r>
        <w:t>Satisfaction with the parks and green open spaces will increase.</w:t>
      </w:r>
    </w:p>
    <w:p w:rsidR="00E444CB" w:rsidRPr="00F55F10" w:rsidP="00E444CB">
      <w:pPr>
        <w:pStyle w:val="ListParagraph"/>
        <w:ind w:left="1222"/>
        <w:rPr>
          <w:rFonts w:ascii="Arial" w:eastAsia="Times New Roman" w:hAnsi="Arial" w:cs="Times New Roman"/>
          <w:szCs w:val="20"/>
        </w:rPr>
      </w:pPr>
    </w:p>
    <w:p w:rsidR="00E444CB" w:rsidP="00E444CB">
      <w:pPr>
        <w:pStyle w:val="ListParagraph"/>
        <w:numPr>
          <w:ilvl w:val="0"/>
          <w:numId w:val="8"/>
        </w:numPr>
        <w:ind w:left="502"/>
        <w:rPr>
          <w:rFonts w:ascii="Arial" w:eastAsia="Times New Roman" w:hAnsi="Arial" w:cs="Times New Roman"/>
          <w:szCs w:val="20"/>
        </w:rPr>
      </w:pPr>
      <w:r>
        <w:rPr>
          <w:rFonts w:ascii="Arial" w:eastAsia="Times New Roman" w:hAnsi="Arial" w:cs="Times New Roman"/>
          <w:szCs w:val="20"/>
        </w:rPr>
        <w:t>Three</w:t>
      </w:r>
      <w:r w:rsidRPr="00E52C0D">
        <w:rPr>
          <w:rFonts w:ascii="Arial" w:eastAsia="Times New Roman" w:hAnsi="Arial" w:cs="Times New Roman"/>
          <w:szCs w:val="20"/>
        </w:rPr>
        <w:t xml:space="preserve"> of the </w:t>
      </w:r>
      <w:r>
        <w:rPr>
          <w:rFonts w:ascii="Arial" w:eastAsia="Times New Roman" w:hAnsi="Arial" w:cs="Times New Roman"/>
          <w:szCs w:val="20"/>
        </w:rPr>
        <w:t>eight cor</w:t>
      </w:r>
      <w:r>
        <w:rPr>
          <w:rFonts w:ascii="Arial" w:eastAsia="Times New Roman" w:hAnsi="Arial" w:cs="Times New Roman"/>
          <w:szCs w:val="20"/>
        </w:rPr>
        <w:t>porate</w:t>
      </w:r>
      <w:r w:rsidRPr="00E52C0D">
        <w:rPr>
          <w:rFonts w:ascii="Arial" w:eastAsia="Times New Roman" w:hAnsi="Arial" w:cs="Times New Roman"/>
          <w:szCs w:val="20"/>
        </w:rPr>
        <w:t xml:space="preserve"> indicators performed </w:t>
      </w:r>
      <w:r>
        <w:rPr>
          <w:rFonts w:ascii="Arial" w:eastAsia="Times New Roman" w:hAnsi="Arial" w:cs="Times New Roman"/>
          <w:szCs w:val="20"/>
        </w:rPr>
        <w:t>worse than</w:t>
      </w:r>
      <w:r w:rsidRPr="00E52C0D">
        <w:rPr>
          <w:rFonts w:ascii="Arial" w:eastAsia="Times New Roman" w:hAnsi="Arial" w:cs="Times New Roman"/>
          <w:szCs w:val="20"/>
        </w:rPr>
        <w:t xml:space="preserve"> target</w:t>
      </w:r>
      <w:r>
        <w:rPr>
          <w:rFonts w:ascii="Arial" w:eastAsia="Times New Roman" w:hAnsi="Arial" w:cs="Times New Roman"/>
          <w:szCs w:val="20"/>
        </w:rPr>
        <w:t xml:space="preserve"> but within 5% threshold:</w:t>
      </w:r>
      <w:r w:rsidRPr="00E52C0D">
        <w:rPr>
          <w:rFonts w:ascii="Arial" w:eastAsia="Times New Roman" w:hAnsi="Arial" w:cs="Times New Roman"/>
          <w:szCs w:val="20"/>
        </w:rPr>
        <w:t xml:space="preserve"> </w:t>
      </w:r>
    </w:p>
    <w:p w:rsidR="00E444CB" w:rsidRPr="00F55F10" w:rsidP="00E444CB">
      <w:pPr>
        <w:pStyle w:val="ListParagraph"/>
        <w:numPr>
          <w:ilvl w:val="0"/>
          <w:numId w:val="24"/>
        </w:numPr>
        <w:ind w:left="851"/>
        <w:rPr>
          <w:rFonts w:ascii="Arial" w:eastAsia="Times New Roman" w:hAnsi="Arial" w:cs="Times New Roman"/>
          <w:szCs w:val="20"/>
        </w:rPr>
      </w:pPr>
      <w:r>
        <w:t>The</w:t>
      </w:r>
      <w:r>
        <w:t xml:space="preserve"> percentage of people satisfied with the leisure and sports facilities in their local area will increase,</w:t>
      </w:r>
    </w:p>
    <w:p w:rsidR="00E444CB" w:rsidRPr="00F55F10" w:rsidP="00E444CB">
      <w:pPr>
        <w:pStyle w:val="ListParagraph"/>
        <w:numPr>
          <w:ilvl w:val="0"/>
          <w:numId w:val="24"/>
        </w:numPr>
        <w:ind w:left="851"/>
        <w:rPr>
          <w:rFonts w:ascii="Arial" w:eastAsia="Times New Roman" w:hAnsi="Arial" w:cs="Times New Roman"/>
          <w:szCs w:val="20"/>
        </w:rPr>
      </w:pPr>
      <w:r>
        <w:t>The percentage of people who feel involved in the local area and decision making will increase,</w:t>
      </w:r>
    </w:p>
    <w:p w:rsidR="00E444CB" w:rsidP="00E444CB">
      <w:pPr>
        <w:pStyle w:val="ListParagraph"/>
        <w:ind w:left="851"/>
      </w:pPr>
      <w:r>
        <w:t>The percentage of people who feel safe when outside in</w:t>
      </w:r>
      <w:r>
        <w:t xml:space="preserve"> their local area after dark will increase.</w:t>
      </w:r>
    </w:p>
    <w:p w:rsidR="00E444CB" w:rsidRPr="00E52C0D" w:rsidP="00E444CB">
      <w:pPr>
        <w:pStyle w:val="ListParagraph"/>
        <w:ind w:left="1222"/>
        <w:rPr>
          <w:rFonts w:ascii="Arial" w:eastAsia="Times New Roman" w:hAnsi="Arial" w:cs="Times New Roman"/>
          <w:szCs w:val="20"/>
        </w:rPr>
      </w:pPr>
    </w:p>
    <w:p w:rsidR="00E444CB" w:rsidRPr="00430D84" w:rsidP="00E444CB">
      <w:pPr>
        <w:pStyle w:val="ListParagraph"/>
        <w:numPr>
          <w:ilvl w:val="0"/>
          <w:numId w:val="8"/>
        </w:numPr>
        <w:ind w:left="502"/>
        <w:rPr>
          <w:rFonts w:ascii="Arial" w:eastAsia="Times New Roman" w:hAnsi="Arial" w:cs="Times New Roman"/>
          <w:szCs w:val="20"/>
        </w:rPr>
      </w:pPr>
      <w:r w:rsidRPr="00430D84">
        <w:rPr>
          <w:rFonts w:ascii="Arial" w:eastAsia="Times New Roman" w:hAnsi="Arial" w:cs="Times New Roman"/>
          <w:szCs w:val="20"/>
        </w:rPr>
        <w:t>The table below shows a breakdown of the results for these indicators and a comparison has been made with the results of the last resident survey which was conducted in 20</w:t>
      </w:r>
      <w:r>
        <w:rPr>
          <w:rFonts w:ascii="Arial" w:eastAsia="Times New Roman" w:hAnsi="Arial" w:cs="Times New Roman"/>
          <w:szCs w:val="20"/>
        </w:rPr>
        <w:t>20</w:t>
      </w:r>
      <w:r w:rsidRPr="00430D84">
        <w:rPr>
          <w:rFonts w:ascii="Arial" w:eastAsia="Times New Roman" w:hAnsi="Arial" w:cs="Times New Roman"/>
          <w:szCs w:val="20"/>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739"/>
        <w:gridCol w:w="2379"/>
        <w:gridCol w:w="567"/>
        <w:gridCol w:w="2411"/>
      </w:tblGrid>
      <w:tr w:rsidTr="00E444CB">
        <w:tblPrEx>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74"/>
        </w:trPr>
        <w:tc>
          <w:tcPr>
            <w:tcW w:w="851" w:type="dxa"/>
            <w:tcBorders>
              <w:right w:val="nil"/>
            </w:tcBorders>
            <w:shd w:val="clear" w:color="auto" w:fill="auto"/>
            <w:vAlign w:val="center"/>
          </w:tcPr>
          <w:p w:rsidR="00E444CB" w:rsidRPr="00E52C0D" w:rsidP="00E444CB">
            <w:pPr>
              <w:widowControl w:val="0"/>
              <w:spacing w:after="160" w:line="259" w:lineRule="auto"/>
              <w:contextualSpacing/>
              <w:jc w:val="center"/>
              <w:outlineLvl w:val="0"/>
              <w:rPr>
                <w:rFonts w:ascii="Arial" w:eastAsia="Arial" w:hAnsi="Arial" w:cs="Arial"/>
                <w:b/>
                <w:color w:val="00B050"/>
              </w:rPr>
            </w:pPr>
            <w:bookmarkStart w:id="13" w:name="_Hlk96671370"/>
            <w:r w:rsidRPr="00E52C0D">
              <w:rPr>
                <w:rFonts w:ascii="Wingdings 3" w:eastAsia="Arial" w:hAnsi="Wingdings 3" w:cs="Times New Roman"/>
                <w:color w:val="FF0000"/>
                <w:sz w:val="32"/>
              </w:rPr>
              <w:sym w:font="Wingdings 3" w:char="F070"/>
            </w:r>
          </w:p>
        </w:tc>
        <w:tc>
          <w:tcPr>
            <w:tcW w:w="2551" w:type="dxa"/>
            <w:tcBorders>
              <w:left w:val="nil"/>
            </w:tcBorders>
            <w:shd w:val="clear" w:color="auto" w:fill="auto"/>
            <w:vAlign w:val="center"/>
          </w:tcPr>
          <w:p w:rsidR="00E444CB" w:rsidRPr="00E52C0D" w:rsidP="00E444CB">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Worse than target, outside thresho</w:t>
            </w:r>
            <w:r w:rsidRPr="00E52C0D">
              <w:rPr>
                <w:rFonts w:ascii="Arial" w:eastAsia="Arial" w:hAnsi="Arial" w:cs="Arial"/>
                <w:bCs/>
                <w:color w:val="000000"/>
              </w:rPr>
              <w:t>ld (5%)</w:t>
            </w:r>
          </w:p>
        </w:tc>
        <w:tc>
          <w:tcPr>
            <w:tcW w:w="739" w:type="dxa"/>
            <w:tcBorders>
              <w:right w:val="nil"/>
            </w:tcBorders>
            <w:vAlign w:val="center"/>
          </w:tcPr>
          <w:p w:rsidR="00E444CB" w:rsidRPr="00E52C0D" w:rsidP="00E444CB">
            <w:pPr>
              <w:widowControl w:val="0"/>
              <w:spacing w:after="160" w:line="259" w:lineRule="auto"/>
              <w:contextualSpacing/>
              <w:jc w:val="center"/>
              <w:outlineLvl w:val="0"/>
              <w:rPr>
                <w:rFonts w:ascii="Arial" w:eastAsia="Arial" w:hAnsi="Arial" w:cs="Arial"/>
                <w:bCs/>
                <w:color w:val="000000"/>
              </w:rPr>
            </w:pPr>
            <w:r w:rsidRPr="00430D84">
              <w:rPr>
                <w:rFonts w:ascii="Wingdings 2" w:eastAsia="Calibri" w:hAnsi="Wingdings 2" w:cstheme="minorHAnsi"/>
                <w:color w:val="0070C0"/>
                <w:sz w:val="32"/>
                <w:szCs w:val="32"/>
              </w:rPr>
              <w:sym w:font="Wingdings 2" w:char="F098"/>
            </w:r>
          </w:p>
        </w:tc>
        <w:tc>
          <w:tcPr>
            <w:tcW w:w="2379" w:type="dxa"/>
            <w:tcBorders>
              <w:left w:val="nil"/>
            </w:tcBorders>
            <w:vAlign w:val="center"/>
          </w:tcPr>
          <w:p w:rsidR="00E444CB" w:rsidRPr="00E52C0D" w:rsidP="00E444CB">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Worse than target but within threshold (5%)</w:t>
            </w:r>
          </w:p>
        </w:tc>
        <w:tc>
          <w:tcPr>
            <w:tcW w:w="567" w:type="dxa"/>
            <w:tcBorders>
              <w:right w:val="nil"/>
            </w:tcBorders>
            <w:vAlign w:val="center"/>
          </w:tcPr>
          <w:p w:rsidR="00E444CB" w:rsidRPr="00E52C0D" w:rsidP="00E444CB">
            <w:pPr>
              <w:widowControl w:val="0"/>
              <w:spacing w:after="160" w:line="259" w:lineRule="auto"/>
              <w:contextualSpacing/>
              <w:outlineLvl w:val="0"/>
              <w:rPr>
                <w:rFonts w:ascii="Arial" w:eastAsia="Arial" w:hAnsi="Arial" w:cs="Arial"/>
                <w:bCs/>
                <w:color w:val="000000"/>
              </w:rPr>
            </w:pPr>
            <w:r w:rsidRPr="00E52C0D">
              <w:rPr>
                <w:rFonts w:ascii="Wingdings" w:eastAsia="Arial" w:hAnsi="Wingdings" w:cs="Times New Roman"/>
                <w:color w:val="00B050"/>
                <w:sz w:val="44"/>
              </w:rPr>
              <w:sym w:font="Wingdings" w:char="F0AB"/>
            </w:r>
          </w:p>
        </w:tc>
        <w:tc>
          <w:tcPr>
            <w:tcW w:w="2411" w:type="dxa"/>
            <w:tcBorders>
              <w:left w:val="nil"/>
            </w:tcBorders>
            <w:vAlign w:val="center"/>
          </w:tcPr>
          <w:p w:rsidR="00E444CB" w:rsidRPr="00E52C0D" w:rsidP="00E444CB">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Performance is better than target</w:t>
            </w:r>
          </w:p>
        </w:tc>
      </w:tr>
    </w:tbl>
    <w:p w:rsidR="00E444CB" w:rsidP="00E444CB">
      <w:pPr>
        <w:spacing w:after="0" w:line="240" w:lineRule="auto"/>
      </w:pPr>
      <w:bookmarkEnd w:id="13"/>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685"/>
        <w:gridCol w:w="936"/>
        <w:gridCol w:w="903"/>
        <w:gridCol w:w="872"/>
        <w:gridCol w:w="936"/>
        <w:gridCol w:w="1197"/>
      </w:tblGrid>
      <w:tr w:rsidTr="00E444CB">
        <w:tblPrEx>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60"/>
          <w:tblHeader/>
        </w:trPr>
        <w:tc>
          <w:tcPr>
            <w:tcW w:w="99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444CB" w:rsidRPr="00430D84" w:rsidP="00E444CB">
            <w:pPr>
              <w:spacing w:after="0" w:line="240" w:lineRule="auto"/>
              <w:rPr>
                <w:rFonts w:eastAsia="Calibri" w:cstheme="minorHAnsi"/>
                <w:b/>
                <w:color w:val="FFFFFF" w:themeColor="background1"/>
              </w:rPr>
            </w:pPr>
            <w:r w:rsidRPr="00430D84">
              <w:rPr>
                <w:rFonts w:eastAsia="Calibri" w:cstheme="minorHAnsi"/>
                <w:b/>
                <w:color w:val="FFFFFF" w:themeColor="background1"/>
              </w:rPr>
              <w:t>Priority</w:t>
            </w:r>
          </w:p>
        </w:tc>
        <w:tc>
          <w:tcPr>
            <w:tcW w:w="3685"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E444CB" w:rsidRPr="00430D84" w:rsidP="00E444CB">
            <w:pPr>
              <w:spacing w:after="0" w:line="240" w:lineRule="auto"/>
              <w:rPr>
                <w:rFonts w:eastAsia="Calibri" w:cstheme="minorHAnsi"/>
                <w:b/>
                <w:color w:val="FFFFFF" w:themeColor="background1"/>
              </w:rPr>
            </w:pPr>
            <w:r w:rsidRPr="00430D84">
              <w:rPr>
                <w:rFonts w:eastAsia="Calibri" w:cstheme="minorHAnsi"/>
                <w:b/>
                <w:color w:val="FFFFFF" w:themeColor="background1"/>
              </w:rPr>
              <w:t>Key Performance Measures</w:t>
            </w:r>
          </w:p>
        </w:tc>
        <w:tc>
          <w:tcPr>
            <w:tcW w:w="93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444CB" w:rsidRPr="00430D84" w:rsidP="00E444CB">
            <w:pPr>
              <w:spacing w:after="0" w:line="240" w:lineRule="auto"/>
              <w:jc w:val="center"/>
              <w:rPr>
                <w:rFonts w:eastAsia="Calibri" w:cstheme="minorHAnsi"/>
                <w:b/>
                <w:color w:val="FFFFFF" w:themeColor="background1"/>
              </w:rPr>
            </w:pPr>
            <w:r w:rsidRPr="00430D84">
              <w:rPr>
                <w:rFonts w:eastAsia="Calibri" w:cstheme="minorHAnsi"/>
                <w:b/>
                <w:color w:val="FFFFFF" w:themeColor="background1"/>
              </w:rPr>
              <w:t>Target</w:t>
            </w:r>
          </w:p>
        </w:tc>
        <w:tc>
          <w:tcPr>
            <w:tcW w:w="90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444CB" w:rsidRPr="00430D84" w:rsidP="00E444CB">
            <w:pPr>
              <w:spacing w:after="0" w:line="240" w:lineRule="auto"/>
              <w:jc w:val="center"/>
              <w:rPr>
                <w:rFonts w:eastAsia="Calibri" w:cstheme="minorHAnsi"/>
                <w:b/>
                <w:color w:val="FFFFFF" w:themeColor="background1"/>
              </w:rPr>
            </w:pPr>
            <w:r w:rsidRPr="00430D84">
              <w:rPr>
                <w:rFonts w:eastAsia="Calibri" w:cstheme="minorHAnsi"/>
                <w:b/>
                <w:color w:val="FFFFFF" w:themeColor="background1"/>
              </w:rPr>
              <w:t>2021</w:t>
            </w:r>
          </w:p>
        </w:tc>
        <w:tc>
          <w:tcPr>
            <w:tcW w:w="872"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444CB" w:rsidRPr="00430D84" w:rsidP="00E444CB">
            <w:pPr>
              <w:spacing w:after="0" w:line="240" w:lineRule="auto"/>
              <w:jc w:val="center"/>
              <w:rPr>
                <w:rFonts w:eastAsia="Calibri" w:cstheme="minorHAnsi"/>
                <w:b/>
                <w:color w:val="FFFFFF" w:themeColor="background1"/>
              </w:rPr>
            </w:pPr>
            <w:r w:rsidRPr="00430D84">
              <w:rPr>
                <w:rFonts w:eastAsia="Calibri" w:cstheme="minorHAnsi"/>
                <w:b/>
                <w:color w:val="FFFFFF" w:themeColor="background1"/>
              </w:rPr>
              <w:t>%</w:t>
            </w:r>
          </w:p>
          <w:p w:rsidR="00E444CB" w:rsidRPr="00430D84" w:rsidP="00E444CB">
            <w:pPr>
              <w:spacing w:after="0" w:line="240" w:lineRule="auto"/>
              <w:jc w:val="center"/>
              <w:rPr>
                <w:rFonts w:eastAsia="Calibri" w:cstheme="minorHAnsi"/>
                <w:b/>
                <w:color w:val="FFFFFF" w:themeColor="background1"/>
              </w:rPr>
            </w:pPr>
            <w:r w:rsidRPr="00430D84">
              <w:rPr>
                <w:rFonts w:eastAsia="Calibri" w:cstheme="minorHAnsi"/>
                <w:b/>
                <w:color w:val="FFFFFF" w:themeColor="background1"/>
              </w:rPr>
              <w:t>-/+</w:t>
            </w:r>
          </w:p>
        </w:tc>
        <w:tc>
          <w:tcPr>
            <w:tcW w:w="93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444CB" w:rsidRPr="00430D84" w:rsidP="00E444CB">
            <w:pPr>
              <w:spacing w:after="0" w:line="240" w:lineRule="auto"/>
              <w:jc w:val="center"/>
              <w:rPr>
                <w:rFonts w:eastAsia="Calibri" w:cstheme="minorHAnsi"/>
                <w:b/>
                <w:color w:val="FFFFFF" w:themeColor="background1"/>
              </w:rPr>
            </w:pPr>
            <w:r w:rsidRPr="00430D84">
              <w:rPr>
                <w:rFonts w:eastAsia="Calibri" w:cstheme="minorHAnsi"/>
                <w:b/>
                <w:color w:val="FFFFFF" w:themeColor="background1"/>
              </w:rPr>
              <w:t>Status</w:t>
            </w:r>
          </w:p>
        </w:tc>
        <w:tc>
          <w:tcPr>
            <w:tcW w:w="1197"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E444CB" w:rsidRPr="00430D84" w:rsidP="00E444CB">
            <w:pPr>
              <w:spacing w:after="0" w:line="240" w:lineRule="auto"/>
              <w:jc w:val="center"/>
              <w:rPr>
                <w:rFonts w:eastAsia="Calibri" w:cstheme="minorHAnsi"/>
                <w:b/>
                <w:color w:val="FFFFFF" w:themeColor="background1"/>
              </w:rPr>
            </w:pPr>
            <w:r w:rsidRPr="00430D84">
              <w:rPr>
                <w:rFonts w:eastAsia="Calibri" w:cstheme="minorHAnsi"/>
                <w:b/>
                <w:color w:val="FFFFFF" w:themeColor="background1"/>
              </w:rPr>
              <w:t>Trend</w:t>
            </w:r>
          </w:p>
        </w:tc>
      </w:tr>
      <w:tr w:rsidTr="00E444CB">
        <w:tblPrEx>
          <w:tblW w:w="9522" w:type="dxa"/>
          <w:tblInd w:w="-5" w:type="dxa"/>
          <w:tblLayout w:type="fixed"/>
          <w:tblLook w:val="04A0"/>
        </w:tblPrEx>
        <w:trPr>
          <w:cantSplit/>
          <w:trHeight w:val="1134"/>
        </w:trPr>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E444CB" w:rsidRPr="00430D84" w:rsidP="00E444CB">
            <w:pPr>
              <w:spacing w:after="0" w:line="240" w:lineRule="auto"/>
              <w:ind w:left="113" w:right="113"/>
              <w:jc w:val="center"/>
              <w:rPr>
                <w:rFonts w:eastAsia="Calibri" w:cstheme="minorHAnsi"/>
                <w:b/>
                <w:bCs/>
                <w:color w:val="4F81BD"/>
              </w:rPr>
            </w:pPr>
            <w:r w:rsidRPr="00430D84">
              <w:rPr>
                <w:rFonts w:eastAsia="Calibri" w:cstheme="minorHAnsi"/>
                <w:b/>
                <w:bCs/>
                <w:color w:val="4F81BD"/>
              </w:rPr>
              <w:t>An Exemplary Council</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4CB" w:rsidRPr="00430D84" w:rsidP="00E444CB">
            <w:pPr>
              <w:spacing w:before="120" w:after="120"/>
              <w:rPr>
                <w:rFonts w:eastAsia="Calibri" w:cstheme="minorHAnsi"/>
              </w:rPr>
            </w:pPr>
            <w:r>
              <w:t xml:space="preserve">The percentage of people satisfied with South Ribble as a place to live will increase </w:t>
            </w:r>
          </w:p>
        </w:tc>
        <w:tc>
          <w:tcPr>
            <w:tcW w:w="936"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82%</w:t>
            </w: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85%</w:t>
            </w:r>
          </w:p>
        </w:tc>
        <w:tc>
          <w:tcPr>
            <w:tcW w:w="872"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rPr>
            </w:pPr>
            <w:r w:rsidRPr="00430D84">
              <w:rPr>
                <w:rFonts w:eastAsia="Calibri" w:cstheme="minorHAnsi"/>
              </w:rPr>
              <w:t>3%</w:t>
            </w:r>
          </w:p>
        </w:tc>
        <w:tc>
          <w:tcPr>
            <w:tcW w:w="936"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sz w:val="36"/>
                <w:szCs w:val="36"/>
              </w:rPr>
            </w:pPr>
            <w:r w:rsidRPr="00E52C0D">
              <w:rPr>
                <w:rFonts w:ascii="Wingdings" w:eastAsia="Arial" w:hAnsi="Wingdings" w:cs="Times New Roman"/>
                <w:color w:val="00B050"/>
                <w:sz w:val="44"/>
              </w:rPr>
              <w:sym w:font="Wingdings" w:char="F0AB"/>
            </w:r>
          </w:p>
        </w:tc>
        <w:tc>
          <w:tcPr>
            <w:tcW w:w="1197" w:type="dxa"/>
            <w:tcBorders>
              <w:top w:val="single" w:sz="4" w:space="0" w:color="auto"/>
              <w:left w:val="single" w:sz="4" w:space="0" w:color="auto"/>
              <w:bottom w:val="single" w:sz="4" w:space="0" w:color="auto"/>
              <w:right w:val="single" w:sz="4" w:space="0" w:color="auto"/>
            </w:tcBorders>
            <w:vAlign w:val="center"/>
          </w:tcPr>
          <w:p w:rsidR="00E444CB" w:rsidRPr="00AC39D2" w:rsidP="00E444CB">
            <w:pPr>
              <w:spacing w:after="0" w:line="240" w:lineRule="auto"/>
              <w:jc w:val="center"/>
              <w:rPr>
                <w:rFonts w:eastAsia="Calibri" w:cstheme="minorHAnsi"/>
                <w:color w:val="00B050"/>
              </w:rPr>
            </w:pPr>
            <w:r w:rsidRPr="00AC39D2">
              <w:rPr>
                <w:rFonts w:eastAsia="Calibri" w:cstheme="minorHAnsi"/>
                <w:color w:val="00B050"/>
              </w:rPr>
              <w:t>Better than 2020</w:t>
            </w:r>
          </w:p>
        </w:tc>
      </w:tr>
      <w:tr w:rsidTr="00E444CB">
        <w:tblPrEx>
          <w:tblW w:w="9522" w:type="dxa"/>
          <w:tblInd w:w="-5" w:type="dxa"/>
          <w:tblLayout w:type="fixed"/>
          <w:tblLook w:val="04A0"/>
        </w:tblPrEx>
        <w:trPr>
          <w:trHeight w:val="878"/>
        </w:trPr>
        <w:tc>
          <w:tcPr>
            <w:tcW w:w="993" w:type="dxa"/>
            <w:vMerge/>
            <w:tcBorders>
              <w:left w:val="single" w:sz="4" w:space="0" w:color="auto"/>
              <w:bottom w:val="single" w:sz="4" w:space="0" w:color="auto"/>
              <w:right w:val="single" w:sz="4" w:space="0" w:color="auto"/>
            </w:tcBorders>
            <w:shd w:val="clear" w:color="auto" w:fill="auto"/>
            <w:textDirection w:val="btLr"/>
            <w:vAlign w:val="center"/>
          </w:tcPr>
          <w:p w:rsidR="00E444CB" w:rsidRPr="00430D84" w:rsidP="00E444CB">
            <w:pPr>
              <w:spacing w:after="0" w:line="240" w:lineRule="auto"/>
              <w:ind w:left="113" w:right="113"/>
              <w:jc w:val="center"/>
              <w:rPr>
                <w:rFonts w:eastAsia="Calibri" w:cstheme="minorHAnsi"/>
                <w:b/>
                <w:bCs/>
                <w:color w:val="4F81BD"/>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4CB" w:rsidRPr="00430D84" w:rsidP="00E444CB">
            <w:pPr>
              <w:spacing w:before="120" w:after="120"/>
              <w:rPr>
                <w:rFonts w:eastAsia="Calibri" w:cstheme="minorHAnsi"/>
              </w:rPr>
            </w:pPr>
            <w:r w:rsidRPr="00F55F10">
              <w:rPr>
                <w:rFonts w:cstheme="minorHAnsi"/>
              </w:rPr>
              <w:t xml:space="preserve">The percentage of people satisfied with the leisure and sports facilities in their local area will increase </w:t>
            </w:r>
          </w:p>
        </w:tc>
        <w:tc>
          <w:tcPr>
            <w:tcW w:w="936"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53%</w:t>
            </w: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50%</w:t>
            </w:r>
          </w:p>
        </w:tc>
        <w:tc>
          <w:tcPr>
            <w:tcW w:w="872"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rPr>
            </w:pPr>
            <w:r w:rsidRPr="00430D84">
              <w:rPr>
                <w:rFonts w:eastAsia="Calibri" w:cstheme="minorHAnsi"/>
              </w:rPr>
              <w:t>3%</w:t>
            </w:r>
          </w:p>
        </w:tc>
        <w:tc>
          <w:tcPr>
            <w:tcW w:w="936"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sz w:val="36"/>
                <w:szCs w:val="36"/>
              </w:rPr>
            </w:pPr>
            <w:r w:rsidRPr="00430D84">
              <w:rPr>
                <w:rFonts w:ascii="Wingdings 2" w:eastAsia="Calibri" w:hAnsi="Wingdings 2" w:cstheme="minorHAnsi"/>
                <w:color w:val="0070C0"/>
                <w:sz w:val="32"/>
                <w:szCs w:val="32"/>
              </w:rPr>
              <w:sym w:font="Wingdings 2" w:char="F098"/>
            </w:r>
          </w:p>
        </w:tc>
        <w:tc>
          <w:tcPr>
            <w:tcW w:w="1197" w:type="dxa"/>
            <w:tcBorders>
              <w:top w:val="single" w:sz="4" w:space="0" w:color="auto"/>
              <w:left w:val="single" w:sz="4" w:space="0" w:color="auto"/>
              <w:bottom w:val="single" w:sz="4" w:space="0" w:color="auto"/>
              <w:right w:val="single" w:sz="4" w:space="0" w:color="auto"/>
            </w:tcBorders>
            <w:vAlign w:val="center"/>
          </w:tcPr>
          <w:p w:rsidR="00E444CB" w:rsidRPr="00AC39D2" w:rsidP="00E444CB">
            <w:pPr>
              <w:spacing w:after="0" w:line="240" w:lineRule="auto"/>
              <w:jc w:val="center"/>
              <w:rPr>
                <w:rFonts w:eastAsia="Calibri" w:cstheme="minorHAnsi"/>
                <w:color w:val="FF0000"/>
              </w:rPr>
            </w:pPr>
            <w:r w:rsidRPr="00AC39D2">
              <w:rPr>
                <w:rFonts w:eastAsia="Calibri" w:cstheme="minorHAnsi"/>
                <w:color w:val="FF0000"/>
              </w:rPr>
              <w:t>Worse than 2020</w:t>
            </w:r>
          </w:p>
        </w:tc>
      </w:tr>
      <w:tr w:rsidTr="00E444CB">
        <w:tblPrEx>
          <w:tblW w:w="9522" w:type="dxa"/>
          <w:tblInd w:w="-5" w:type="dxa"/>
          <w:tblLayout w:type="fixed"/>
          <w:tblLook w:val="04A0"/>
        </w:tblPrEx>
        <w:trPr>
          <w:trHeight w:val="537"/>
        </w:trPr>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E444CB" w:rsidRPr="00430D84" w:rsidP="00E444CB">
            <w:pPr>
              <w:spacing w:after="0" w:line="240" w:lineRule="auto"/>
              <w:ind w:left="113" w:right="113"/>
              <w:jc w:val="center"/>
              <w:rPr>
                <w:rFonts w:eastAsia="Calibri" w:cstheme="minorHAnsi"/>
                <w:b/>
                <w:bCs/>
                <w:color w:val="FF0000"/>
              </w:rPr>
            </w:pPr>
            <w:r w:rsidRPr="00430D84">
              <w:rPr>
                <w:rFonts w:eastAsia="Calibri" w:cstheme="minorHAnsi"/>
                <w:b/>
                <w:bCs/>
                <w:color w:val="FF0000"/>
              </w:rPr>
              <w:t>Thriving Communities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4CB" w:rsidRPr="00430D84" w:rsidP="00E444CB">
            <w:pPr>
              <w:spacing w:before="120" w:after="120"/>
              <w:rPr>
                <w:rFonts w:cstheme="minorHAnsi"/>
              </w:rPr>
            </w:pPr>
            <w:r w:rsidRPr="00F55F10">
              <w:rPr>
                <w:rFonts w:cstheme="minorHAnsi"/>
              </w:rPr>
              <w:t xml:space="preserve">The percentage of people who feel they belong to their local area will increase </w:t>
            </w:r>
          </w:p>
        </w:tc>
        <w:tc>
          <w:tcPr>
            <w:tcW w:w="936"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69%</w:t>
            </w: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70%</w:t>
            </w:r>
          </w:p>
        </w:tc>
        <w:tc>
          <w:tcPr>
            <w:tcW w:w="872"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rPr>
            </w:pPr>
            <w:r w:rsidRPr="00430D84">
              <w:rPr>
                <w:rFonts w:eastAsia="Calibri" w:cstheme="minorHAnsi"/>
              </w:rPr>
              <w:t>1%</w:t>
            </w:r>
          </w:p>
        </w:tc>
        <w:tc>
          <w:tcPr>
            <w:tcW w:w="936"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sz w:val="36"/>
                <w:szCs w:val="36"/>
              </w:rPr>
            </w:pPr>
            <w:r w:rsidRPr="00F71F44">
              <w:rPr>
                <w:rFonts w:ascii="Wingdings" w:eastAsia="Arial" w:hAnsi="Wingdings" w:cs="Times New Roman"/>
                <w:color w:val="00B050"/>
                <w:sz w:val="44"/>
              </w:rPr>
              <w:sym w:font="Wingdings" w:char="F0AB"/>
            </w:r>
          </w:p>
        </w:tc>
        <w:tc>
          <w:tcPr>
            <w:tcW w:w="1197"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b/>
                <w:bCs/>
              </w:rPr>
            </w:pPr>
            <w:r w:rsidRPr="00AC39D2">
              <w:rPr>
                <w:rFonts w:eastAsia="Calibri" w:cstheme="minorHAnsi"/>
                <w:color w:val="00B050"/>
              </w:rPr>
              <w:t>Better than 2020</w:t>
            </w:r>
          </w:p>
        </w:tc>
      </w:tr>
      <w:tr w:rsidTr="00E444CB">
        <w:tblPrEx>
          <w:tblW w:w="9522" w:type="dxa"/>
          <w:tblInd w:w="-5" w:type="dxa"/>
          <w:tblLayout w:type="fixed"/>
          <w:tblLook w:val="04A0"/>
        </w:tblPrEx>
        <w:trPr>
          <w:trHeight w:val="537"/>
        </w:trPr>
        <w:tc>
          <w:tcPr>
            <w:tcW w:w="993" w:type="dxa"/>
            <w:vMerge/>
            <w:tcBorders>
              <w:left w:val="single" w:sz="4" w:space="0" w:color="auto"/>
              <w:right w:val="single" w:sz="4" w:space="0" w:color="auto"/>
            </w:tcBorders>
            <w:shd w:val="clear" w:color="auto" w:fill="auto"/>
            <w:textDirection w:val="btLr"/>
            <w:vAlign w:val="center"/>
          </w:tcPr>
          <w:p w:rsidR="00E444CB" w:rsidRPr="00430D84" w:rsidP="00E444CB">
            <w:pPr>
              <w:spacing w:after="0" w:line="240" w:lineRule="auto"/>
              <w:ind w:left="113" w:right="113"/>
              <w:jc w:val="center"/>
              <w:rPr>
                <w:rFonts w:eastAsia="Calibri" w:cstheme="minorHAnsi"/>
                <w:b/>
                <w:bCs/>
                <w:color w:val="FF000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4CB" w:rsidRPr="00430D84" w:rsidP="00E444CB">
            <w:pPr>
              <w:spacing w:before="120" w:after="120"/>
              <w:rPr>
                <w:rFonts w:cstheme="minorHAnsi"/>
              </w:rPr>
            </w:pPr>
            <w:r w:rsidRPr="00F55F10">
              <w:rPr>
                <w:rFonts w:cstheme="minorHAnsi"/>
              </w:rPr>
              <w:t xml:space="preserve">The percentage of people who think the Council acts on the concerns of local residents will increase </w:t>
            </w:r>
          </w:p>
        </w:tc>
        <w:tc>
          <w:tcPr>
            <w:tcW w:w="936"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54%</w:t>
            </w: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54%</w:t>
            </w:r>
          </w:p>
        </w:tc>
        <w:tc>
          <w:tcPr>
            <w:tcW w:w="872"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rPr>
            </w:pPr>
            <w:r w:rsidRPr="00430D84">
              <w:rPr>
                <w:rFonts w:eastAsia="Calibri" w:cstheme="minorHAnsi"/>
              </w:rPr>
              <w:t>0%</w:t>
            </w:r>
          </w:p>
        </w:tc>
        <w:tc>
          <w:tcPr>
            <w:tcW w:w="936"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sz w:val="36"/>
                <w:szCs w:val="36"/>
              </w:rPr>
            </w:pPr>
            <w:r w:rsidRPr="00F71F44">
              <w:rPr>
                <w:rFonts w:ascii="Wingdings" w:eastAsia="Arial" w:hAnsi="Wingdings" w:cs="Times New Roman"/>
                <w:color w:val="00B050"/>
                <w:sz w:val="44"/>
              </w:rPr>
              <w:sym w:font="Wingdings" w:char="F0AB"/>
            </w:r>
          </w:p>
        </w:tc>
        <w:tc>
          <w:tcPr>
            <w:tcW w:w="1197" w:type="dxa"/>
            <w:tcBorders>
              <w:top w:val="single" w:sz="4" w:space="0" w:color="auto"/>
              <w:left w:val="single" w:sz="4" w:space="0" w:color="auto"/>
              <w:bottom w:val="single" w:sz="4" w:space="0" w:color="auto"/>
              <w:right w:val="single" w:sz="4" w:space="0" w:color="auto"/>
            </w:tcBorders>
            <w:vAlign w:val="center"/>
          </w:tcPr>
          <w:p w:rsidR="00E444CB" w:rsidRPr="00AC39D2" w:rsidP="00E444CB">
            <w:pPr>
              <w:spacing w:after="0" w:line="240" w:lineRule="auto"/>
              <w:jc w:val="center"/>
              <w:rPr>
                <w:rFonts w:eastAsia="Calibri" w:cstheme="minorHAnsi"/>
              </w:rPr>
            </w:pPr>
            <w:r w:rsidRPr="00AC39D2">
              <w:rPr>
                <w:rFonts w:eastAsia="Calibri" w:cstheme="minorHAnsi"/>
              </w:rPr>
              <w:t>Same as 2020</w:t>
            </w:r>
          </w:p>
        </w:tc>
      </w:tr>
      <w:tr w:rsidTr="00E444CB">
        <w:tblPrEx>
          <w:tblW w:w="9522" w:type="dxa"/>
          <w:tblInd w:w="-5" w:type="dxa"/>
          <w:tblLayout w:type="fixed"/>
          <w:tblLook w:val="04A0"/>
        </w:tblPrEx>
        <w:trPr>
          <w:trHeight w:val="537"/>
        </w:trPr>
        <w:tc>
          <w:tcPr>
            <w:tcW w:w="993" w:type="dxa"/>
            <w:vMerge/>
            <w:tcBorders>
              <w:left w:val="single" w:sz="4" w:space="0" w:color="auto"/>
              <w:bottom w:val="single" w:sz="4" w:space="0" w:color="auto"/>
              <w:right w:val="single" w:sz="4" w:space="0" w:color="auto"/>
            </w:tcBorders>
            <w:shd w:val="clear" w:color="auto" w:fill="auto"/>
            <w:textDirection w:val="btLr"/>
            <w:vAlign w:val="center"/>
          </w:tcPr>
          <w:p w:rsidR="00E444CB" w:rsidRPr="00430D84" w:rsidP="00E444CB">
            <w:pPr>
              <w:spacing w:after="0" w:line="240" w:lineRule="auto"/>
              <w:ind w:left="113" w:right="113"/>
              <w:jc w:val="center"/>
              <w:rPr>
                <w:rFonts w:eastAsia="Calibri" w:cstheme="minorHAnsi"/>
                <w:b/>
                <w:bCs/>
                <w:color w:val="FF000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4CB" w:rsidRPr="00430D84" w:rsidP="00E444CB">
            <w:pPr>
              <w:spacing w:before="120" w:after="120"/>
              <w:rPr>
                <w:rFonts w:cstheme="minorHAnsi"/>
              </w:rPr>
            </w:pPr>
            <w:r w:rsidRPr="00F55F10">
              <w:rPr>
                <w:rFonts w:cstheme="minorHAnsi"/>
              </w:rPr>
              <w:t xml:space="preserve">The percentage of people who feel involved in the local area and decision making will increase </w:t>
            </w:r>
          </w:p>
        </w:tc>
        <w:tc>
          <w:tcPr>
            <w:tcW w:w="936"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18%</w:t>
            </w: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16%</w:t>
            </w:r>
          </w:p>
        </w:tc>
        <w:tc>
          <w:tcPr>
            <w:tcW w:w="872"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rPr>
            </w:pPr>
            <w:r w:rsidRPr="00430D84">
              <w:rPr>
                <w:rFonts w:eastAsia="Calibri" w:cstheme="minorHAnsi"/>
              </w:rPr>
              <w:t>2%</w:t>
            </w:r>
          </w:p>
        </w:tc>
        <w:tc>
          <w:tcPr>
            <w:tcW w:w="936"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sz w:val="36"/>
                <w:szCs w:val="36"/>
              </w:rPr>
            </w:pPr>
            <w:r w:rsidRPr="00430D84">
              <w:rPr>
                <w:rFonts w:ascii="Wingdings 2" w:eastAsia="Calibri" w:hAnsi="Wingdings 2" w:cstheme="minorHAnsi"/>
                <w:color w:val="0070C0"/>
                <w:sz w:val="32"/>
                <w:szCs w:val="32"/>
              </w:rPr>
              <w:sym w:font="Wingdings 2" w:char="F098"/>
            </w:r>
          </w:p>
        </w:tc>
        <w:tc>
          <w:tcPr>
            <w:tcW w:w="1197" w:type="dxa"/>
            <w:tcBorders>
              <w:top w:val="single" w:sz="4" w:space="0" w:color="auto"/>
              <w:left w:val="single" w:sz="4" w:space="0" w:color="auto"/>
              <w:bottom w:val="single" w:sz="4" w:space="0" w:color="auto"/>
              <w:right w:val="single" w:sz="4" w:space="0" w:color="auto"/>
            </w:tcBorders>
            <w:vAlign w:val="center"/>
          </w:tcPr>
          <w:p w:rsidR="00E444CB" w:rsidRPr="00AC39D2" w:rsidP="00E444CB">
            <w:pPr>
              <w:spacing w:after="0" w:line="240" w:lineRule="auto"/>
              <w:jc w:val="center"/>
              <w:rPr>
                <w:rFonts w:eastAsia="Calibri" w:cstheme="minorHAnsi"/>
              </w:rPr>
            </w:pPr>
            <w:r w:rsidRPr="00AC39D2">
              <w:rPr>
                <w:rFonts w:eastAsia="Calibri" w:cstheme="minorHAnsi"/>
                <w:color w:val="FF0000"/>
              </w:rPr>
              <w:t>Worse than 2020</w:t>
            </w:r>
          </w:p>
        </w:tc>
      </w:tr>
      <w:tr w:rsidTr="00E444CB">
        <w:tblPrEx>
          <w:tblW w:w="9522" w:type="dxa"/>
          <w:tblInd w:w="-5" w:type="dxa"/>
          <w:tblLayout w:type="fixed"/>
          <w:tblLook w:val="04A0"/>
        </w:tblPrEx>
        <w:trPr>
          <w:trHeight w:val="537"/>
        </w:trPr>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E444CB" w:rsidRPr="00430D84" w:rsidP="00E444CB">
            <w:pPr>
              <w:spacing w:after="0" w:line="240" w:lineRule="auto"/>
              <w:ind w:left="113" w:right="113"/>
              <w:jc w:val="center"/>
              <w:rPr>
                <w:rFonts w:eastAsia="Calibri" w:cstheme="minorHAnsi"/>
                <w:b/>
                <w:bCs/>
                <w:color w:val="F79646"/>
              </w:rPr>
            </w:pPr>
            <w:r w:rsidRPr="00430D84">
              <w:rPr>
                <w:rFonts w:eastAsia="Calibri" w:cstheme="minorHAnsi"/>
                <w:b/>
                <w:bCs/>
                <w:color w:val="76923C"/>
              </w:rPr>
              <w:t>Good homes, green spaces, healthy places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4CB" w:rsidRPr="00430D84" w:rsidP="00E444CB">
            <w:pPr>
              <w:spacing w:before="120" w:after="120"/>
              <w:rPr>
                <w:rFonts w:cstheme="minorHAnsi"/>
              </w:rPr>
            </w:pPr>
            <w:r w:rsidRPr="00F55F10">
              <w:rPr>
                <w:rFonts w:cstheme="minorHAnsi"/>
              </w:rPr>
              <w:t>The percentage of people who feel safe when outside in their local area after dark will increase</w:t>
            </w:r>
          </w:p>
        </w:tc>
        <w:tc>
          <w:tcPr>
            <w:tcW w:w="936"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61%</w:t>
            </w: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58%</w:t>
            </w:r>
          </w:p>
        </w:tc>
        <w:tc>
          <w:tcPr>
            <w:tcW w:w="872"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rPr>
            </w:pPr>
            <w:r w:rsidRPr="00430D84">
              <w:rPr>
                <w:rFonts w:eastAsia="Calibri" w:cstheme="minorHAnsi"/>
              </w:rPr>
              <w:t>3%</w:t>
            </w:r>
          </w:p>
        </w:tc>
        <w:tc>
          <w:tcPr>
            <w:tcW w:w="936"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sz w:val="36"/>
                <w:szCs w:val="36"/>
              </w:rPr>
            </w:pPr>
            <w:r w:rsidRPr="00430D84">
              <w:rPr>
                <w:rFonts w:ascii="Wingdings 2" w:eastAsia="Calibri" w:hAnsi="Wingdings 2" w:cstheme="minorHAnsi"/>
                <w:color w:val="0070C0"/>
                <w:sz w:val="32"/>
                <w:szCs w:val="32"/>
              </w:rPr>
              <w:sym w:font="Wingdings 2" w:char="F098"/>
            </w:r>
          </w:p>
        </w:tc>
        <w:tc>
          <w:tcPr>
            <w:tcW w:w="1197"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b/>
                <w:bCs/>
              </w:rPr>
            </w:pPr>
            <w:r w:rsidRPr="00AC39D2">
              <w:rPr>
                <w:rFonts w:eastAsia="Calibri" w:cstheme="minorHAnsi"/>
                <w:color w:val="FF0000"/>
              </w:rPr>
              <w:t>Worse than 2020</w:t>
            </w:r>
          </w:p>
        </w:tc>
      </w:tr>
      <w:tr w:rsidTr="00E444CB">
        <w:tblPrEx>
          <w:tblW w:w="9522" w:type="dxa"/>
          <w:tblInd w:w="-5" w:type="dxa"/>
          <w:tblLayout w:type="fixed"/>
          <w:tblLook w:val="04A0"/>
        </w:tblPrEx>
        <w:trPr>
          <w:trHeight w:val="537"/>
        </w:trPr>
        <w:tc>
          <w:tcPr>
            <w:tcW w:w="993" w:type="dxa"/>
            <w:vMerge/>
            <w:tcBorders>
              <w:left w:val="single" w:sz="4" w:space="0" w:color="auto"/>
              <w:right w:val="single" w:sz="4" w:space="0" w:color="auto"/>
            </w:tcBorders>
            <w:shd w:val="clear" w:color="auto" w:fill="auto"/>
            <w:vAlign w:val="center"/>
          </w:tcPr>
          <w:p w:rsidR="00E444CB" w:rsidRPr="00430D84" w:rsidP="00E444CB">
            <w:pPr>
              <w:spacing w:after="0" w:line="240" w:lineRule="auto"/>
              <w:rPr>
                <w:rFonts w:eastAsia="Calibri" w:cstheme="minorHAnsi"/>
                <w:b/>
                <w:bCs/>
                <w:color w:val="F79646"/>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4CB" w:rsidRPr="00430D84" w:rsidP="00E444CB">
            <w:pPr>
              <w:spacing w:before="120" w:after="120"/>
              <w:rPr>
                <w:rFonts w:cstheme="minorHAnsi"/>
              </w:rPr>
            </w:pPr>
            <w:r w:rsidRPr="00F55F10">
              <w:rPr>
                <w:rFonts w:cstheme="minorHAnsi"/>
              </w:rPr>
              <w:t>The percentage of people who feel safe when outside in their local during the day will increase</w:t>
            </w:r>
          </w:p>
        </w:tc>
        <w:tc>
          <w:tcPr>
            <w:tcW w:w="936"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88%</w:t>
            </w: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90%</w:t>
            </w:r>
          </w:p>
        </w:tc>
        <w:tc>
          <w:tcPr>
            <w:tcW w:w="872"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rPr>
            </w:pPr>
            <w:r w:rsidRPr="00430D84">
              <w:rPr>
                <w:rFonts w:eastAsia="Calibri" w:cstheme="minorHAnsi"/>
              </w:rPr>
              <w:t>2%</w:t>
            </w:r>
          </w:p>
        </w:tc>
        <w:tc>
          <w:tcPr>
            <w:tcW w:w="936"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color w:val="00B050"/>
                <w:sz w:val="36"/>
                <w:szCs w:val="36"/>
              </w:rPr>
            </w:pPr>
            <w:r w:rsidRPr="00A57EDE">
              <w:rPr>
                <w:rFonts w:ascii="Wingdings" w:eastAsia="Arial" w:hAnsi="Wingdings" w:cs="Times New Roman"/>
                <w:color w:val="00B050"/>
                <w:sz w:val="44"/>
              </w:rPr>
              <w:sym w:font="Wingdings" w:char="F0AB"/>
            </w:r>
          </w:p>
        </w:tc>
        <w:tc>
          <w:tcPr>
            <w:tcW w:w="1197"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b/>
                <w:bCs/>
              </w:rPr>
            </w:pPr>
            <w:r w:rsidRPr="001373EF">
              <w:rPr>
                <w:rFonts w:eastAsia="Calibri" w:cstheme="minorHAnsi"/>
                <w:color w:val="00B050"/>
              </w:rPr>
              <w:t xml:space="preserve">Better than </w:t>
            </w:r>
            <w:r w:rsidRPr="001373EF">
              <w:rPr>
                <w:rFonts w:eastAsia="Calibri" w:cstheme="minorHAnsi"/>
                <w:color w:val="00B050"/>
              </w:rPr>
              <w:t>2020</w:t>
            </w:r>
          </w:p>
        </w:tc>
      </w:tr>
      <w:tr w:rsidTr="00E444CB">
        <w:tblPrEx>
          <w:tblW w:w="9522" w:type="dxa"/>
          <w:tblInd w:w="-5" w:type="dxa"/>
          <w:tblLayout w:type="fixed"/>
          <w:tblLook w:val="04A0"/>
        </w:tblPrEx>
        <w:trPr>
          <w:trHeight w:val="537"/>
        </w:trPr>
        <w:tc>
          <w:tcPr>
            <w:tcW w:w="993" w:type="dxa"/>
            <w:vMerge/>
            <w:tcBorders>
              <w:left w:val="single" w:sz="4" w:space="0" w:color="auto"/>
              <w:bottom w:val="single" w:sz="4" w:space="0" w:color="auto"/>
              <w:right w:val="single" w:sz="4" w:space="0" w:color="auto"/>
            </w:tcBorders>
            <w:shd w:val="clear" w:color="auto" w:fill="auto"/>
            <w:vAlign w:val="center"/>
          </w:tcPr>
          <w:p w:rsidR="00E444CB" w:rsidRPr="00430D84" w:rsidP="00E444CB">
            <w:pPr>
              <w:spacing w:after="0" w:line="240" w:lineRule="auto"/>
              <w:rPr>
                <w:rFonts w:eastAsia="Calibri" w:cstheme="minorHAnsi"/>
                <w:b/>
                <w:bCs/>
                <w:color w:val="F79646"/>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4CB" w:rsidRPr="00430D84" w:rsidP="00E444CB">
            <w:pPr>
              <w:spacing w:before="120" w:after="120"/>
              <w:rPr>
                <w:rFonts w:cstheme="minorHAnsi"/>
              </w:rPr>
            </w:pPr>
            <w:r w:rsidRPr="00F55F10">
              <w:rPr>
                <w:rFonts w:cstheme="minorHAnsi"/>
              </w:rPr>
              <w:t>Satisfaction with the parks and green open spaces will increase</w:t>
            </w:r>
          </w:p>
        </w:tc>
        <w:tc>
          <w:tcPr>
            <w:tcW w:w="936"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77%</w:t>
            </w: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E444CB" w:rsidRPr="00430D84" w:rsidP="00E444CB">
            <w:pPr>
              <w:spacing w:after="0" w:line="240" w:lineRule="auto"/>
              <w:jc w:val="center"/>
              <w:rPr>
                <w:rFonts w:eastAsia="Calibri" w:cstheme="minorHAnsi"/>
              </w:rPr>
            </w:pPr>
            <w:r w:rsidRPr="00430D84">
              <w:rPr>
                <w:rFonts w:eastAsia="Calibri" w:cstheme="minorHAnsi"/>
              </w:rPr>
              <w:t>79%</w:t>
            </w:r>
          </w:p>
        </w:tc>
        <w:tc>
          <w:tcPr>
            <w:tcW w:w="872"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rPr>
            </w:pPr>
            <w:r w:rsidRPr="00430D84">
              <w:rPr>
                <w:rFonts w:eastAsia="Calibri" w:cstheme="minorHAnsi"/>
              </w:rPr>
              <w:t>2%</w:t>
            </w:r>
          </w:p>
        </w:tc>
        <w:tc>
          <w:tcPr>
            <w:tcW w:w="936"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color w:val="00B050"/>
                <w:sz w:val="36"/>
                <w:szCs w:val="36"/>
              </w:rPr>
            </w:pPr>
            <w:r w:rsidRPr="00A57EDE">
              <w:rPr>
                <w:rFonts w:ascii="Wingdings" w:eastAsia="Arial" w:hAnsi="Wingdings" w:cs="Times New Roman"/>
                <w:color w:val="00B050"/>
                <w:sz w:val="44"/>
              </w:rPr>
              <w:sym w:font="Wingdings" w:char="F0AB"/>
            </w:r>
          </w:p>
        </w:tc>
        <w:tc>
          <w:tcPr>
            <w:tcW w:w="1197" w:type="dxa"/>
            <w:tcBorders>
              <w:top w:val="single" w:sz="4" w:space="0" w:color="auto"/>
              <w:left w:val="single" w:sz="4" w:space="0" w:color="auto"/>
              <w:bottom w:val="single" w:sz="4" w:space="0" w:color="auto"/>
              <w:right w:val="single" w:sz="4" w:space="0" w:color="auto"/>
            </w:tcBorders>
            <w:vAlign w:val="center"/>
          </w:tcPr>
          <w:p w:rsidR="00E444CB" w:rsidRPr="00430D84" w:rsidP="00E444CB">
            <w:pPr>
              <w:spacing w:after="0" w:line="240" w:lineRule="auto"/>
              <w:jc w:val="center"/>
              <w:rPr>
                <w:rFonts w:eastAsia="Calibri" w:cstheme="minorHAnsi"/>
                <w:b/>
                <w:bCs/>
              </w:rPr>
            </w:pPr>
            <w:r w:rsidRPr="001373EF">
              <w:rPr>
                <w:rFonts w:eastAsia="Calibri" w:cstheme="minorHAnsi"/>
                <w:color w:val="00B050"/>
              </w:rPr>
              <w:t>Better than 2020</w:t>
            </w:r>
          </w:p>
        </w:tc>
      </w:tr>
    </w:tbl>
    <w:p w:rsidR="00E444CB" w:rsidP="00E444CB">
      <w:pPr>
        <w:spacing w:after="160" w:line="259" w:lineRule="auto"/>
        <w:ind w:left="502"/>
        <w:contextualSpacing/>
        <w:rPr>
          <w:rFonts w:ascii="Arial" w:eastAsia="Calibri" w:hAnsi="Arial" w:cs="Arial"/>
        </w:rPr>
      </w:pPr>
    </w:p>
    <w:p w:rsidR="00E444CB" w:rsidRPr="00CA5E67" w:rsidP="00E444CB">
      <w:pPr>
        <w:numPr>
          <w:ilvl w:val="0"/>
          <w:numId w:val="8"/>
        </w:numPr>
        <w:spacing w:after="160" w:line="259" w:lineRule="auto"/>
        <w:ind w:left="502"/>
        <w:contextualSpacing/>
        <w:rPr>
          <w:rFonts w:ascii="Arial" w:eastAsia="Calibri" w:hAnsi="Arial" w:cs="Arial"/>
        </w:rPr>
      </w:pPr>
      <w:r w:rsidRPr="00E52C0D">
        <w:rPr>
          <w:rFonts w:ascii="Arial" w:eastAsia="Calibri" w:hAnsi="Arial" w:cs="Arial"/>
        </w:rPr>
        <w:t xml:space="preserve">Despite the challenges of the last two years, the findings from the survey shows </w:t>
      </w:r>
      <w:r>
        <w:rPr>
          <w:rFonts w:ascii="Arial" w:eastAsia="Calibri" w:hAnsi="Arial" w:cs="Arial"/>
        </w:rPr>
        <w:t>overall</w:t>
      </w:r>
      <w:r w:rsidRPr="00E52C0D">
        <w:rPr>
          <w:rFonts w:ascii="Arial" w:eastAsia="Calibri" w:hAnsi="Arial" w:cs="Arial"/>
        </w:rPr>
        <w:t xml:space="preserve"> residents’ satisfaction has increased compared to the previous survey conducted in 20</w:t>
      </w:r>
      <w:r>
        <w:rPr>
          <w:rFonts w:ascii="Arial" w:eastAsia="Calibri" w:hAnsi="Arial" w:cs="Arial"/>
        </w:rPr>
        <w:t>20</w:t>
      </w:r>
      <w:r w:rsidRPr="00E52C0D">
        <w:rPr>
          <w:rFonts w:ascii="Arial" w:eastAsia="Calibri" w:hAnsi="Arial" w:cs="Arial"/>
        </w:rPr>
        <w:t>.</w:t>
      </w:r>
    </w:p>
    <w:p w:rsidR="00E444CB" w:rsidRPr="00866240" w:rsidP="00E444CB">
      <w:pPr>
        <w:pStyle w:val="ListParagraph"/>
        <w:numPr>
          <w:ilvl w:val="0"/>
          <w:numId w:val="8"/>
        </w:numPr>
        <w:spacing w:after="0" w:line="240" w:lineRule="auto"/>
        <w:rPr>
          <w:rFonts w:ascii="Arial" w:eastAsia="Calibri" w:hAnsi="Arial" w:cs="Times New Roman"/>
        </w:rPr>
      </w:pPr>
      <w:r w:rsidRPr="00CA5E67">
        <w:rPr>
          <w:rFonts w:ascii="Arial" w:eastAsia="Calibri" w:hAnsi="Arial" w:cs="Arial"/>
        </w:rPr>
        <w:t xml:space="preserve">In addition to the </w:t>
      </w:r>
      <w:r w:rsidRPr="00866240">
        <w:rPr>
          <w:rFonts w:ascii="Arial" w:eastAsia="Calibri" w:hAnsi="Arial" w:cs="Arial"/>
        </w:rPr>
        <w:t>corporate indicators, satisfaction</w:t>
      </w:r>
      <w:r w:rsidRPr="00866240">
        <w:rPr>
          <w:rFonts w:eastAsia="Calibri" w:cs="Times New Roman"/>
        </w:rPr>
        <w:t xml:space="preserve"> with the way South Ribble Council runs things has increased significantly in 2021 (75%) compared to 2020 (67%).</w:t>
      </w:r>
    </w:p>
    <w:p w:rsidR="00E444CB" w:rsidRPr="00E52C0D" w:rsidP="00E444CB">
      <w:pPr>
        <w:spacing w:after="160" w:line="259" w:lineRule="auto"/>
        <w:contextualSpacing/>
        <w:rPr>
          <w:rFonts w:ascii="Arial" w:eastAsia="Calibri" w:hAnsi="Arial" w:cs="Arial"/>
        </w:rPr>
      </w:pPr>
    </w:p>
    <w:p w:rsidR="00E444CB" w:rsidRPr="00E52C0D" w:rsidP="00E444CB">
      <w:pPr>
        <w:numPr>
          <w:ilvl w:val="0"/>
          <w:numId w:val="8"/>
        </w:numPr>
        <w:spacing w:after="160" w:line="259" w:lineRule="auto"/>
        <w:ind w:left="502"/>
        <w:contextualSpacing/>
        <w:rPr>
          <w:rFonts w:ascii="Arial" w:eastAsia="Calibri" w:hAnsi="Arial" w:cs="Arial"/>
        </w:rPr>
      </w:pPr>
      <w:r w:rsidRPr="00E52C0D">
        <w:rPr>
          <w:rFonts w:ascii="Arial" w:eastAsia="Calibri" w:hAnsi="Arial" w:cs="Arial"/>
        </w:rPr>
        <w:t xml:space="preserve">When benchmarked against other councils and nearest neighbours, the comparisons continue to indicate that </w:t>
      </w:r>
      <w:r>
        <w:rPr>
          <w:rFonts w:ascii="Arial" w:eastAsia="Calibri" w:hAnsi="Arial" w:cs="Arial"/>
        </w:rPr>
        <w:t>South Ribble</w:t>
      </w:r>
      <w:r w:rsidRPr="00E52C0D">
        <w:rPr>
          <w:rFonts w:ascii="Arial" w:eastAsia="Calibri" w:hAnsi="Arial" w:cs="Arial"/>
        </w:rPr>
        <w:t xml:space="preserve"> is performing </w:t>
      </w:r>
      <w:r>
        <w:rPr>
          <w:rFonts w:ascii="Arial" w:eastAsia="Calibri" w:hAnsi="Arial" w:cs="Arial"/>
        </w:rPr>
        <w:t>well</w:t>
      </w:r>
      <w:r w:rsidRPr="00E52C0D">
        <w:rPr>
          <w:rFonts w:ascii="Arial" w:eastAsia="Calibri" w:hAnsi="Arial" w:cs="Arial"/>
        </w:rPr>
        <w:t xml:space="preserve"> when</w:t>
      </w:r>
      <w:r w:rsidRPr="00E52C0D">
        <w:rPr>
          <w:rFonts w:ascii="Arial" w:eastAsia="Calibri" w:hAnsi="Arial" w:cs="Arial"/>
        </w:rPr>
        <w:t xml:space="preserve"> it comes to resident satisfaction.  Three core areas have been identified by the LGA as being of strategic and practical importance in terms of helping councils understand the extent to which their residents are satisfied with their performance.  The comp</w:t>
      </w:r>
      <w:r w:rsidRPr="00E52C0D">
        <w:rPr>
          <w:rFonts w:ascii="Arial" w:eastAsia="Calibri" w:hAnsi="Arial" w:cs="Arial"/>
        </w:rPr>
        <w:t xml:space="preserve">arison shows that </w:t>
      </w:r>
      <w:r>
        <w:rPr>
          <w:rFonts w:ascii="Arial" w:eastAsia="Calibri" w:hAnsi="Arial" w:cs="Arial"/>
        </w:rPr>
        <w:t>South Ribble</w:t>
      </w:r>
      <w:r w:rsidRPr="00E52C0D">
        <w:rPr>
          <w:rFonts w:ascii="Arial" w:eastAsia="Calibri" w:hAnsi="Arial" w:cs="Arial"/>
        </w:rPr>
        <w:t xml:space="preserve"> Council is performing better than the average in all three core areas. </w:t>
      </w:r>
    </w:p>
    <w:p w:rsidR="00E444CB" w:rsidP="00E444CB">
      <w:pPr>
        <w:spacing w:after="160" w:line="259" w:lineRule="auto"/>
        <w:ind w:left="720"/>
        <w:contextualSpacing/>
        <w:rPr>
          <w:rFonts w:ascii="Arial" w:eastAsia="Calibri" w:hAnsi="Arial" w:cs="Arial"/>
        </w:rPr>
      </w:pPr>
    </w:p>
    <w:p w:rsidR="00E444CB" w:rsidP="00E444CB">
      <w:pPr>
        <w:numPr>
          <w:ilvl w:val="0"/>
          <w:numId w:val="8"/>
        </w:numPr>
        <w:spacing w:after="160" w:line="259" w:lineRule="auto"/>
        <w:ind w:left="502"/>
        <w:contextualSpacing/>
        <w:rPr>
          <w:rFonts w:ascii="Arial" w:eastAsia="Calibri" w:hAnsi="Arial" w:cs="Arial"/>
        </w:rPr>
      </w:pPr>
      <w:r w:rsidRPr="00E52C0D">
        <w:rPr>
          <w:rFonts w:ascii="Arial" w:eastAsia="Calibri" w:hAnsi="Arial" w:cs="Arial"/>
        </w:rPr>
        <w:t xml:space="preserve">The questions outlined below.  </w:t>
      </w:r>
    </w:p>
    <w:p w:rsidR="00E444CB" w:rsidP="00E444CB">
      <w:pPr>
        <w:spacing w:after="160" w:line="259" w:lineRule="auto"/>
        <w:ind w:left="502"/>
        <w:contextualSpacing/>
        <w:rPr>
          <w:rFonts w:ascii="Arial" w:eastAsia="Calibri" w:hAnsi="Arial" w:cs="Arial"/>
        </w:rPr>
      </w:pPr>
    </w:p>
    <w:tbl>
      <w:tblPr>
        <w:tblStyle w:val="TableGrid1"/>
        <w:tblW w:w="9776" w:type="dxa"/>
        <w:tblLook w:val="04A0"/>
      </w:tblPr>
      <w:tblGrid>
        <w:gridCol w:w="1533"/>
        <w:gridCol w:w="5125"/>
        <w:gridCol w:w="1559"/>
        <w:gridCol w:w="1559"/>
      </w:tblGrid>
      <w:tr w:rsidTr="00E444CB">
        <w:tblPrEx>
          <w:tblW w:w="9776" w:type="dxa"/>
          <w:tblLook w:val="04A0"/>
        </w:tblPrEx>
        <w:trPr>
          <w:trHeight w:val="709"/>
        </w:trPr>
        <w:tc>
          <w:tcPr>
            <w:tcW w:w="8217" w:type="dxa"/>
            <w:gridSpan w:val="3"/>
            <w:vAlign w:val="center"/>
          </w:tcPr>
          <w:p w:rsidR="00E444CB" w:rsidP="00E444CB">
            <w:pPr>
              <w:rPr>
                <w:rFonts w:eastAsia="Calibri"/>
              </w:rPr>
            </w:pPr>
            <w:r w:rsidRPr="00430D84">
              <w:rPr>
                <w:rFonts w:eastAsia="Calibri"/>
              </w:rPr>
              <w:t xml:space="preserve">Residents’ Survey 2021 </w:t>
            </w:r>
          </w:p>
          <w:p w:rsidR="00E444CB" w:rsidRPr="00430D84" w:rsidP="00E444CB">
            <w:pPr>
              <w:rPr>
                <w:rFonts w:eastAsia="Calibri"/>
              </w:rPr>
            </w:pPr>
            <w:r w:rsidRPr="00430D84">
              <w:rPr>
                <w:rFonts w:eastAsia="Calibri"/>
              </w:rPr>
              <w:t>(Excl</w:t>
            </w:r>
            <w:r>
              <w:rPr>
                <w:rFonts w:eastAsia="Calibri"/>
              </w:rPr>
              <w:t>uding</w:t>
            </w:r>
            <w:r w:rsidRPr="00430D84">
              <w:rPr>
                <w:rFonts w:eastAsia="Calibri"/>
              </w:rPr>
              <w:t xml:space="preserve"> ‘Don’t know’ responses)</w:t>
            </w:r>
          </w:p>
        </w:tc>
        <w:tc>
          <w:tcPr>
            <w:tcW w:w="1559" w:type="dxa"/>
            <w:shd w:val="clear" w:color="auto" w:fill="E5DFEC"/>
            <w:vAlign w:val="center"/>
          </w:tcPr>
          <w:p w:rsidR="00E444CB" w:rsidRPr="00430D84" w:rsidP="00E444CB">
            <w:pPr>
              <w:jc w:val="center"/>
              <w:rPr>
                <w:rFonts w:eastAsia="Calibri"/>
              </w:rPr>
            </w:pPr>
            <w:r w:rsidRPr="00430D84">
              <w:rPr>
                <w:rFonts w:eastAsia="Calibri"/>
              </w:rPr>
              <w:t>LGA ‘Polling</w:t>
            </w:r>
            <w:r>
              <w:rPr>
                <w:rFonts w:eastAsia="Calibri"/>
              </w:rPr>
              <w:t>’*</w:t>
            </w:r>
          </w:p>
        </w:tc>
      </w:tr>
      <w:tr w:rsidTr="00E444CB">
        <w:tblPrEx>
          <w:tblW w:w="9776" w:type="dxa"/>
          <w:tblLook w:val="04A0"/>
        </w:tblPrEx>
        <w:trPr>
          <w:trHeight w:val="733"/>
        </w:trPr>
        <w:tc>
          <w:tcPr>
            <w:tcW w:w="1533" w:type="dxa"/>
            <w:shd w:val="clear" w:color="auto" w:fill="FFFFFF" w:themeFill="background1"/>
            <w:vAlign w:val="center"/>
          </w:tcPr>
          <w:p w:rsidR="00E444CB" w:rsidRPr="00430D84" w:rsidP="00E444CB">
            <w:pPr>
              <w:rPr>
                <w:rFonts w:eastAsia="Calibri"/>
              </w:rPr>
            </w:pPr>
            <w:r w:rsidRPr="00430D84">
              <w:rPr>
                <w:rFonts w:eastAsia="Calibri"/>
              </w:rPr>
              <w:t>LG Inform</w:t>
            </w:r>
          </w:p>
        </w:tc>
        <w:tc>
          <w:tcPr>
            <w:tcW w:w="5125" w:type="dxa"/>
            <w:shd w:val="clear" w:color="auto" w:fill="FFFFFF" w:themeFill="background1"/>
            <w:vAlign w:val="center"/>
          </w:tcPr>
          <w:p w:rsidR="00E444CB" w:rsidRPr="00430D84" w:rsidP="00E444CB">
            <w:pPr>
              <w:rPr>
                <w:rFonts w:eastAsia="Calibri"/>
              </w:rPr>
            </w:pPr>
            <w:r w:rsidRPr="00430D84">
              <w:rPr>
                <w:rFonts w:eastAsia="Calibri"/>
              </w:rPr>
              <w:t>Question</w:t>
            </w:r>
          </w:p>
        </w:tc>
        <w:tc>
          <w:tcPr>
            <w:tcW w:w="1559" w:type="dxa"/>
            <w:shd w:val="clear" w:color="auto" w:fill="4F81BD" w:themeFill="accent1"/>
            <w:vAlign w:val="center"/>
          </w:tcPr>
          <w:p w:rsidR="00E444CB" w:rsidRPr="00BB3286" w:rsidP="00E444CB">
            <w:pPr>
              <w:jc w:val="center"/>
              <w:rPr>
                <w:rFonts w:eastAsia="Calibri"/>
                <w:color w:val="FFFFFF" w:themeColor="background1"/>
              </w:rPr>
            </w:pPr>
            <w:r w:rsidRPr="00BB3286">
              <w:rPr>
                <w:rFonts w:eastAsia="Calibri"/>
                <w:color w:val="FFFFFF" w:themeColor="background1"/>
              </w:rPr>
              <w:t>South Ribble 2021</w:t>
            </w:r>
          </w:p>
        </w:tc>
        <w:tc>
          <w:tcPr>
            <w:tcW w:w="1559" w:type="dxa"/>
            <w:shd w:val="clear" w:color="auto" w:fill="E5DFEC"/>
            <w:vAlign w:val="center"/>
          </w:tcPr>
          <w:p w:rsidR="00E444CB" w:rsidRPr="00BB3286" w:rsidP="00E444CB">
            <w:pPr>
              <w:jc w:val="center"/>
              <w:rPr>
                <w:rFonts w:eastAsia="Calibri"/>
              </w:rPr>
            </w:pPr>
            <w:r w:rsidRPr="00BB3286">
              <w:rPr>
                <w:rFonts w:eastAsia="Calibri"/>
              </w:rPr>
              <w:t>October 2021</w:t>
            </w:r>
          </w:p>
        </w:tc>
      </w:tr>
      <w:tr w:rsidTr="00E444CB">
        <w:tblPrEx>
          <w:tblW w:w="9776" w:type="dxa"/>
          <w:tblLook w:val="04A0"/>
        </w:tblPrEx>
        <w:trPr>
          <w:trHeight w:val="718"/>
        </w:trPr>
        <w:tc>
          <w:tcPr>
            <w:tcW w:w="1533" w:type="dxa"/>
            <w:shd w:val="clear" w:color="auto" w:fill="FFFFFF" w:themeFill="background1"/>
            <w:vAlign w:val="center"/>
          </w:tcPr>
          <w:p w:rsidR="00E444CB" w:rsidRPr="00430D84" w:rsidP="00E444CB">
            <w:pPr>
              <w:jc w:val="center"/>
              <w:rPr>
                <w:rFonts w:eastAsia="Calibri"/>
              </w:rPr>
            </w:pPr>
            <w:r w:rsidRPr="00430D84">
              <w:rPr>
                <w:rFonts w:eastAsia="Calibri"/>
              </w:rPr>
              <w:t>Core</w:t>
            </w:r>
          </w:p>
          <w:p w:rsidR="00E444CB" w:rsidRPr="00430D84" w:rsidP="00E444CB">
            <w:pPr>
              <w:jc w:val="center"/>
              <w:rPr>
                <w:rFonts w:eastAsia="Calibri"/>
              </w:rPr>
            </w:pPr>
            <w:r w:rsidRPr="00430D84">
              <w:rPr>
                <w:rFonts w:eastAsia="Calibri"/>
              </w:rPr>
              <w:t>A</w:t>
            </w:r>
          </w:p>
        </w:tc>
        <w:tc>
          <w:tcPr>
            <w:tcW w:w="5125" w:type="dxa"/>
            <w:shd w:val="clear" w:color="auto" w:fill="FFFFFF" w:themeFill="background1"/>
            <w:vAlign w:val="center"/>
          </w:tcPr>
          <w:p w:rsidR="00E444CB" w:rsidRPr="00430D84" w:rsidP="00E444CB">
            <w:pPr>
              <w:autoSpaceDE w:val="0"/>
              <w:autoSpaceDN w:val="0"/>
              <w:adjustRightInd w:val="0"/>
              <w:rPr>
                <w:rFonts w:eastAsia="Calibri"/>
                <w:color w:val="000000"/>
              </w:rPr>
            </w:pPr>
            <w:r w:rsidRPr="00430D84">
              <w:rPr>
                <w:rFonts w:eastAsia="Calibri"/>
                <w:color w:val="000000"/>
              </w:rPr>
              <w:t xml:space="preserve">Overall, how satisfied or dissatisfied are your local area as a place to live? </w:t>
            </w:r>
          </w:p>
        </w:tc>
        <w:tc>
          <w:tcPr>
            <w:tcW w:w="1559" w:type="dxa"/>
            <w:shd w:val="clear" w:color="auto" w:fill="4F81BD" w:themeFill="accent1"/>
            <w:vAlign w:val="center"/>
          </w:tcPr>
          <w:p w:rsidR="00E444CB" w:rsidRPr="00BB3286" w:rsidP="00E444CB">
            <w:pPr>
              <w:jc w:val="center"/>
              <w:rPr>
                <w:rFonts w:eastAsia="Calibri"/>
                <w:color w:val="FFFFFF" w:themeColor="background1"/>
              </w:rPr>
            </w:pPr>
            <w:r w:rsidRPr="00BB3286">
              <w:rPr>
                <w:rFonts w:eastAsia="Calibri"/>
                <w:color w:val="FFFFFF" w:themeColor="background1"/>
              </w:rPr>
              <w:t>85%</w:t>
            </w:r>
          </w:p>
        </w:tc>
        <w:tc>
          <w:tcPr>
            <w:tcW w:w="1559" w:type="dxa"/>
            <w:shd w:val="clear" w:color="auto" w:fill="E5DFEC"/>
            <w:vAlign w:val="center"/>
          </w:tcPr>
          <w:p w:rsidR="00E444CB" w:rsidRPr="00BB3286" w:rsidP="00E444CB">
            <w:pPr>
              <w:jc w:val="center"/>
              <w:rPr>
                <w:rFonts w:eastAsia="Calibri"/>
              </w:rPr>
            </w:pPr>
            <w:r w:rsidRPr="00BB3286">
              <w:rPr>
                <w:rFonts w:eastAsia="Calibri"/>
              </w:rPr>
              <w:t>78%</w:t>
            </w:r>
          </w:p>
        </w:tc>
      </w:tr>
      <w:tr w:rsidTr="00E444CB">
        <w:tblPrEx>
          <w:tblW w:w="9776" w:type="dxa"/>
          <w:tblLook w:val="04A0"/>
        </w:tblPrEx>
        <w:trPr>
          <w:trHeight w:val="963"/>
        </w:trPr>
        <w:tc>
          <w:tcPr>
            <w:tcW w:w="1533" w:type="dxa"/>
            <w:shd w:val="clear" w:color="auto" w:fill="FFFFFF" w:themeFill="background1"/>
            <w:vAlign w:val="center"/>
          </w:tcPr>
          <w:p w:rsidR="00E444CB" w:rsidRPr="00430D84" w:rsidP="00E444CB">
            <w:pPr>
              <w:jc w:val="center"/>
              <w:rPr>
                <w:rFonts w:eastAsia="Calibri"/>
              </w:rPr>
            </w:pPr>
            <w:r w:rsidRPr="00430D84">
              <w:rPr>
                <w:rFonts w:eastAsia="Calibri"/>
              </w:rPr>
              <w:t>Core</w:t>
            </w:r>
          </w:p>
          <w:p w:rsidR="00E444CB" w:rsidRPr="00430D84" w:rsidP="00E444CB">
            <w:pPr>
              <w:jc w:val="center"/>
              <w:rPr>
                <w:rFonts w:eastAsia="Calibri"/>
              </w:rPr>
            </w:pPr>
            <w:r w:rsidRPr="00430D84">
              <w:rPr>
                <w:rFonts w:eastAsia="Calibri"/>
              </w:rPr>
              <w:t>B</w:t>
            </w:r>
          </w:p>
        </w:tc>
        <w:tc>
          <w:tcPr>
            <w:tcW w:w="5125" w:type="dxa"/>
            <w:shd w:val="clear" w:color="auto" w:fill="FFFFFF" w:themeFill="background1"/>
            <w:vAlign w:val="center"/>
          </w:tcPr>
          <w:p w:rsidR="00E444CB" w:rsidRPr="00430D84" w:rsidP="00E444CB">
            <w:pPr>
              <w:autoSpaceDE w:val="0"/>
              <w:autoSpaceDN w:val="0"/>
              <w:adjustRightInd w:val="0"/>
              <w:rPr>
                <w:rFonts w:eastAsia="Calibri"/>
                <w:color w:val="000000"/>
              </w:rPr>
            </w:pPr>
            <w:r w:rsidRPr="00430D84">
              <w:rPr>
                <w:rFonts w:eastAsia="Calibri"/>
                <w:color w:val="000000"/>
              </w:rPr>
              <w:t xml:space="preserve">Overall, how satisfied or dissatisfied are you with the way </w:t>
            </w:r>
            <w:r>
              <w:rPr>
                <w:rFonts w:eastAsia="Calibri"/>
                <w:color w:val="000000"/>
              </w:rPr>
              <w:t>South Ribble</w:t>
            </w:r>
            <w:r w:rsidRPr="00430D84">
              <w:rPr>
                <w:rFonts w:eastAsia="Calibri"/>
                <w:color w:val="000000"/>
              </w:rPr>
              <w:t xml:space="preserve"> Council runs things? </w:t>
            </w:r>
          </w:p>
        </w:tc>
        <w:tc>
          <w:tcPr>
            <w:tcW w:w="1559" w:type="dxa"/>
            <w:shd w:val="clear" w:color="auto" w:fill="4F81BD" w:themeFill="accent1"/>
            <w:vAlign w:val="center"/>
          </w:tcPr>
          <w:p w:rsidR="00E444CB" w:rsidRPr="00BB3286" w:rsidP="00E444CB">
            <w:pPr>
              <w:jc w:val="center"/>
              <w:rPr>
                <w:rFonts w:eastAsia="Calibri"/>
                <w:color w:val="FFFFFF" w:themeColor="background1"/>
              </w:rPr>
            </w:pPr>
            <w:r w:rsidRPr="00BB3286">
              <w:rPr>
                <w:rFonts w:eastAsia="Calibri"/>
                <w:color w:val="FFFFFF" w:themeColor="background1"/>
              </w:rPr>
              <w:t>75%</w:t>
            </w:r>
          </w:p>
        </w:tc>
        <w:tc>
          <w:tcPr>
            <w:tcW w:w="1559" w:type="dxa"/>
            <w:shd w:val="clear" w:color="auto" w:fill="E5DFEC"/>
            <w:vAlign w:val="center"/>
          </w:tcPr>
          <w:p w:rsidR="00E444CB" w:rsidRPr="00BB3286" w:rsidP="00E444CB">
            <w:pPr>
              <w:jc w:val="center"/>
              <w:rPr>
                <w:rFonts w:eastAsia="Calibri"/>
              </w:rPr>
            </w:pPr>
            <w:r w:rsidRPr="00BB3286">
              <w:rPr>
                <w:rFonts w:eastAsia="Calibri"/>
              </w:rPr>
              <w:t>56%</w:t>
            </w:r>
          </w:p>
        </w:tc>
      </w:tr>
      <w:tr w:rsidTr="00E444CB">
        <w:tblPrEx>
          <w:tblW w:w="9776" w:type="dxa"/>
          <w:tblLook w:val="04A0"/>
        </w:tblPrEx>
        <w:trPr>
          <w:trHeight w:val="963"/>
        </w:trPr>
        <w:tc>
          <w:tcPr>
            <w:tcW w:w="1533" w:type="dxa"/>
            <w:shd w:val="clear" w:color="auto" w:fill="FFFFFF" w:themeFill="background1"/>
            <w:vAlign w:val="center"/>
          </w:tcPr>
          <w:p w:rsidR="00E444CB" w:rsidP="00E444CB">
            <w:pPr>
              <w:jc w:val="center"/>
              <w:rPr>
                <w:rFonts w:eastAsia="Calibri"/>
              </w:rPr>
            </w:pPr>
            <w:r w:rsidRPr="00430D84">
              <w:rPr>
                <w:rFonts w:eastAsia="Calibri"/>
              </w:rPr>
              <w:t xml:space="preserve">Core </w:t>
            </w:r>
          </w:p>
          <w:p w:rsidR="00E444CB" w:rsidRPr="00430D84" w:rsidP="00E444CB">
            <w:pPr>
              <w:jc w:val="center"/>
              <w:rPr>
                <w:rFonts w:eastAsia="Calibri"/>
              </w:rPr>
            </w:pPr>
            <w:r w:rsidRPr="00430D84">
              <w:rPr>
                <w:rFonts w:eastAsia="Calibri"/>
              </w:rPr>
              <w:t>C</w:t>
            </w:r>
          </w:p>
        </w:tc>
        <w:tc>
          <w:tcPr>
            <w:tcW w:w="5125" w:type="dxa"/>
            <w:shd w:val="clear" w:color="auto" w:fill="FFFFFF" w:themeFill="background1"/>
            <w:vAlign w:val="center"/>
          </w:tcPr>
          <w:p w:rsidR="00E444CB" w:rsidRPr="00430D84" w:rsidP="00E444CB">
            <w:pPr>
              <w:autoSpaceDE w:val="0"/>
              <w:autoSpaceDN w:val="0"/>
              <w:adjustRightInd w:val="0"/>
              <w:rPr>
                <w:rFonts w:eastAsia="Calibri"/>
                <w:color w:val="000000"/>
              </w:rPr>
            </w:pPr>
            <w:r w:rsidRPr="00430D84">
              <w:rPr>
                <w:rFonts w:eastAsia="Calibri"/>
                <w:color w:val="000000"/>
              </w:rPr>
              <w:t xml:space="preserve">To what extent do you agree or disagree that </w:t>
            </w:r>
            <w:r>
              <w:rPr>
                <w:rFonts w:eastAsia="Calibri"/>
                <w:color w:val="000000"/>
              </w:rPr>
              <w:t>South Ribble</w:t>
            </w:r>
            <w:r w:rsidRPr="00430D84">
              <w:rPr>
                <w:rFonts w:eastAsia="Calibri"/>
                <w:color w:val="000000"/>
              </w:rPr>
              <w:t xml:space="preserve"> Council provides value for money? </w:t>
            </w:r>
          </w:p>
        </w:tc>
        <w:tc>
          <w:tcPr>
            <w:tcW w:w="1559" w:type="dxa"/>
            <w:shd w:val="clear" w:color="auto" w:fill="4F81BD" w:themeFill="accent1"/>
            <w:vAlign w:val="center"/>
          </w:tcPr>
          <w:p w:rsidR="00E444CB" w:rsidRPr="00BB3286" w:rsidP="00E444CB">
            <w:pPr>
              <w:jc w:val="center"/>
              <w:rPr>
                <w:rFonts w:eastAsia="Calibri"/>
                <w:color w:val="FFFFFF" w:themeColor="background1"/>
              </w:rPr>
            </w:pPr>
            <w:r w:rsidRPr="00BB3286">
              <w:rPr>
                <w:rFonts w:eastAsia="Calibri"/>
                <w:color w:val="FFFFFF" w:themeColor="background1"/>
              </w:rPr>
              <w:t>47%</w:t>
            </w:r>
          </w:p>
        </w:tc>
        <w:tc>
          <w:tcPr>
            <w:tcW w:w="1559" w:type="dxa"/>
            <w:shd w:val="clear" w:color="auto" w:fill="E5DFEC"/>
            <w:vAlign w:val="center"/>
          </w:tcPr>
          <w:p w:rsidR="00E444CB" w:rsidRPr="00BB3286" w:rsidP="00E444CB">
            <w:pPr>
              <w:jc w:val="center"/>
              <w:rPr>
                <w:rFonts w:eastAsia="Calibri"/>
              </w:rPr>
            </w:pPr>
            <w:r w:rsidRPr="00BB3286">
              <w:rPr>
                <w:rFonts w:eastAsia="Calibri"/>
              </w:rPr>
              <w:t>43%</w:t>
            </w:r>
          </w:p>
        </w:tc>
      </w:tr>
    </w:tbl>
    <w:p w:rsidR="00E444CB" w:rsidP="00E444CB">
      <w:pPr>
        <w:spacing w:after="160" w:line="259" w:lineRule="auto"/>
        <w:ind w:left="426"/>
        <w:contextualSpacing/>
        <w:rPr>
          <w:rFonts w:ascii="Arial" w:eastAsia="Calibri" w:hAnsi="Arial" w:cs="Arial"/>
          <w:sz w:val="20"/>
          <w:szCs w:val="20"/>
        </w:rPr>
      </w:pPr>
      <w:r w:rsidRPr="00E52C0D">
        <w:rPr>
          <w:rFonts w:ascii="Arial" w:eastAsia="Calibri" w:hAnsi="Arial" w:cs="Arial"/>
          <w:sz w:val="20"/>
          <w:szCs w:val="20"/>
        </w:rPr>
        <w:t>*</w:t>
      </w:r>
      <w:r w:rsidRPr="00E52C0D">
        <w:rPr>
          <w:rFonts w:ascii="Calibri" w:eastAsia="Calibri" w:hAnsi="Calibri" w:cs="Times New Roman"/>
          <w:sz w:val="20"/>
          <w:szCs w:val="20"/>
        </w:rPr>
        <w:t xml:space="preserve"> </w:t>
      </w:r>
      <w:r w:rsidRPr="00E52C0D">
        <w:rPr>
          <w:rFonts w:ascii="Arial" w:eastAsia="Calibri" w:hAnsi="Arial" w:cs="Arial"/>
          <w:sz w:val="20"/>
          <w:szCs w:val="20"/>
        </w:rPr>
        <w:t>The Local Government Association (LGA) poll conducted in October 2021 took a representative random sample of 1,000 British adults (aged 18 or over)</w:t>
      </w:r>
    </w:p>
    <w:p w:rsidR="00E444CB" w:rsidRPr="00645F04" w:rsidP="00E444CB">
      <w:pPr>
        <w:pStyle w:val="ListParagraph"/>
        <w:numPr>
          <w:ilvl w:val="0"/>
          <w:numId w:val="8"/>
        </w:numPr>
        <w:rPr>
          <w:rFonts w:ascii="Arial" w:eastAsia="Calibri" w:hAnsi="Arial" w:cs="Arial"/>
        </w:rPr>
      </w:pPr>
      <w:r w:rsidRPr="00645F04">
        <w:rPr>
          <w:rFonts w:ascii="Arial" w:eastAsia="Calibri" w:hAnsi="Arial" w:cs="Arial"/>
        </w:rPr>
        <w:t>Furt</w:t>
      </w:r>
      <w:r w:rsidRPr="00645F04">
        <w:rPr>
          <w:rFonts w:ascii="Arial" w:eastAsia="Calibri" w:hAnsi="Arial" w:cs="Arial"/>
        </w:rPr>
        <w:t>her analysis has taken place to consider the results on the footprint of the Council</w:t>
      </w:r>
      <w:r>
        <w:rPr>
          <w:rFonts w:ascii="Arial" w:eastAsia="Calibri" w:hAnsi="Arial" w:cs="Arial"/>
        </w:rPr>
        <w:t>’</w:t>
      </w:r>
      <w:r w:rsidRPr="00645F04">
        <w:rPr>
          <w:rFonts w:ascii="Arial" w:eastAsia="Calibri" w:hAnsi="Arial" w:cs="Arial"/>
        </w:rPr>
        <w:t xml:space="preserve">s </w:t>
      </w:r>
      <w:r>
        <w:rPr>
          <w:rFonts w:ascii="Arial" w:eastAsia="Calibri" w:hAnsi="Arial" w:cs="Arial"/>
        </w:rPr>
        <w:t>Community Hub</w:t>
      </w:r>
      <w:r w:rsidRPr="00645F04">
        <w:rPr>
          <w:rFonts w:ascii="Arial" w:eastAsia="Calibri" w:hAnsi="Arial" w:cs="Arial"/>
        </w:rPr>
        <w:t xml:space="preserve"> areas as well as the written comments/responses submitted as part of the survey.</w:t>
      </w:r>
      <w:r>
        <w:rPr>
          <w:rFonts w:ascii="Arial" w:eastAsia="Calibri" w:hAnsi="Arial" w:cs="Arial"/>
        </w:rPr>
        <w:t xml:space="preserve">  These will be provided to members and published in due course. </w:t>
      </w:r>
    </w:p>
    <w:p w:rsidR="00E444CB" w:rsidP="00E444CB">
      <w:pPr>
        <w:pStyle w:val="Heading2"/>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Climate change and air quality</w:t>
      </w:r>
    </w:p>
    <w:p w:rsidR="00E444CB" w:rsidP="00E444CB">
      <w:pPr>
        <w:pStyle w:val="Heading2"/>
        <w:spacing w:before="0" w:beforeAutospacing="0" w:after="0" w:afterAutospacing="0"/>
        <w:rPr>
          <w:rFonts w:asciiTheme="majorHAnsi" w:hAnsiTheme="majorHAnsi" w:cstheme="majorHAnsi"/>
          <w:sz w:val="22"/>
          <w:szCs w:val="22"/>
        </w:rPr>
      </w:pPr>
    </w:p>
    <w:p w:rsidR="00E444CB" w:rsidP="00E444CB">
      <w:pPr>
        <w:pStyle w:val="ListParagraph"/>
        <w:numPr>
          <w:ilvl w:val="0"/>
          <w:numId w:val="8"/>
        </w:numPr>
        <w:tabs>
          <w:tab w:val="left" w:pos="567"/>
        </w:tabs>
        <w:spacing w:after="0" w:line="240" w:lineRule="auto"/>
        <w:ind w:right="-284"/>
      </w:pPr>
      <w:r>
        <w:t>The work noted in this report will have a positive impact on climate change and air quality. This includes the corporate project to deliver early stage decarbonisation efforts and community engagement, which includes actions to improve our environmental pe</w:t>
      </w:r>
      <w:r>
        <w:t>rformance and deliver decarbonisation initiatives.</w:t>
      </w:r>
    </w:p>
    <w:p w:rsidR="00E444CB" w:rsidP="00E444CB">
      <w:pPr>
        <w:pStyle w:val="ListParagraph"/>
        <w:tabs>
          <w:tab w:val="left" w:pos="567"/>
        </w:tabs>
        <w:spacing w:after="0" w:line="240" w:lineRule="auto"/>
        <w:ind w:left="360" w:right="-284"/>
      </w:pPr>
    </w:p>
    <w:p w:rsidR="00E444CB" w:rsidRPr="00ED4FF1" w:rsidP="00E444CB">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rsidR="00E444CB" w:rsidRPr="00201F8E" w:rsidP="00E444CB">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 xml:space="preserve">Equality and Diversity is embedded within the corporate strategy and how the </w:t>
      </w:r>
      <w:r>
        <w:rPr>
          <w:rFonts w:ascii="Arial" w:eastAsia="Calibri" w:hAnsi="Arial" w:cs="Times New Roman"/>
        </w:rPr>
        <w:t>C</w:t>
      </w:r>
      <w:r w:rsidRPr="00201F8E">
        <w:rPr>
          <w:rFonts w:ascii="Arial" w:eastAsia="Calibri" w:hAnsi="Arial" w:cs="Times New Roman"/>
        </w:rPr>
        <w:t>ouncil acts. An equality impact assessment was undertaken as part of the corporate plan refresh and eac</w:t>
      </w:r>
      <w:r w:rsidRPr="00201F8E">
        <w:rPr>
          <w:rFonts w:ascii="Arial" w:eastAsia="Calibri" w:hAnsi="Arial" w:cs="Times New Roman"/>
        </w:rPr>
        <w:t>h individual project will have its own equality impact assessment which are being revised and reassessed during quarter three.</w:t>
      </w:r>
    </w:p>
    <w:p w:rsidR="00E444CB" w:rsidP="00E444CB">
      <w:pPr>
        <w:pStyle w:val="Heading2"/>
        <w:rPr>
          <w:rFonts w:asciiTheme="majorHAnsi" w:hAnsiTheme="majorHAnsi" w:cstheme="majorHAnsi"/>
          <w:sz w:val="22"/>
          <w:szCs w:val="22"/>
        </w:rPr>
      </w:pPr>
      <w:r>
        <w:rPr>
          <w:rFonts w:asciiTheme="majorHAnsi" w:hAnsiTheme="majorHAnsi" w:cstheme="majorHAnsi"/>
          <w:sz w:val="22"/>
          <w:szCs w:val="22"/>
        </w:rPr>
        <w:t>Risk</w:t>
      </w:r>
    </w:p>
    <w:p w:rsidR="00E444CB" w:rsidP="00E444CB">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 xml:space="preserve">Risk registers are being completed for each project which will inform the wider risk assessment on an ongoing basis for the </w:t>
      </w:r>
      <w:r w:rsidRPr="00201F8E">
        <w:rPr>
          <w:rFonts w:ascii="Arial" w:eastAsia="Calibri" w:hAnsi="Arial" w:cs="Times New Roman"/>
        </w:rPr>
        <w:t xml:space="preserve">corporate strategy. </w:t>
      </w:r>
    </w:p>
    <w:p w:rsidR="00E444CB" w:rsidP="00E444CB">
      <w:pPr>
        <w:pStyle w:val="ListParagraph"/>
        <w:spacing w:after="0" w:line="240" w:lineRule="auto"/>
        <w:ind w:left="360"/>
        <w:rPr>
          <w:rFonts w:ascii="Arial" w:eastAsia="Calibri" w:hAnsi="Arial" w:cs="Times New Roman"/>
        </w:rPr>
      </w:pPr>
    </w:p>
    <w:p w:rsidR="00E444CB" w:rsidP="00E444CB">
      <w:pPr>
        <w:pStyle w:val="ListParagraph"/>
        <w:numPr>
          <w:ilvl w:val="0"/>
          <w:numId w:val="8"/>
        </w:numPr>
        <w:spacing w:after="0" w:line="240" w:lineRule="auto"/>
        <w:rPr>
          <w:rFonts w:ascii="Arial" w:eastAsia="Calibri" w:hAnsi="Arial" w:cs="Times New Roman"/>
        </w:rPr>
      </w:pPr>
      <w:r w:rsidRPr="00201F8E">
        <w:rPr>
          <w:rFonts w:ascii="Arial" w:eastAsia="Calibri" w:hAnsi="Arial" w:cs="Times New Roman"/>
        </w:rPr>
        <w:t xml:space="preserve">In considering the risk to the overall corporate strategy programme, the number of green rated projects provides a positive outlook and confidence in delivery. Proactive management of risks around budgets and the impact of </w:t>
      </w:r>
      <w:r w:rsidRPr="00201F8E">
        <w:rPr>
          <w:rFonts w:ascii="Arial" w:eastAsia="Calibri" w:hAnsi="Arial" w:cs="Times New Roman"/>
        </w:rPr>
        <w:t>Covid</w:t>
      </w:r>
      <w:r w:rsidRPr="00201F8E">
        <w:rPr>
          <w:rFonts w:ascii="Arial" w:eastAsia="Calibri" w:hAnsi="Arial" w:cs="Times New Roman"/>
        </w:rPr>
        <w:t xml:space="preserve"> recov</w:t>
      </w:r>
      <w:r w:rsidRPr="00201F8E">
        <w:rPr>
          <w:rFonts w:ascii="Arial" w:eastAsia="Calibri" w:hAnsi="Arial" w:cs="Times New Roman"/>
        </w:rPr>
        <w:t xml:space="preserve">ery remain a focus of the programme board when reviewing progress each quarter. </w:t>
      </w:r>
    </w:p>
    <w:p w:rsidR="00E444CB" w:rsidRPr="00201F8E" w:rsidP="00E444CB">
      <w:pPr>
        <w:spacing w:after="0" w:line="240" w:lineRule="auto"/>
        <w:rPr>
          <w:rFonts w:ascii="Arial" w:eastAsia="Calibri" w:hAnsi="Arial" w:cs="Times New Roman"/>
        </w:rPr>
      </w:pPr>
    </w:p>
    <w:p w:rsidR="00E444CB" w:rsidRPr="00E05771" w:rsidP="00E444CB">
      <w:pPr>
        <w:pStyle w:val="Heading2"/>
        <w:spacing w:before="0" w:beforeAutospacing="0"/>
        <w:rPr>
          <w:rFonts w:asciiTheme="majorHAnsi" w:hAnsiTheme="majorHAnsi" w:cstheme="majorHAnsi"/>
          <w:sz w:val="22"/>
          <w:szCs w:val="22"/>
        </w:rPr>
      </w:pPr>
      <w:r w:rsidRPr="00E05771">
        <w:rPr>
          <w:rFonts w:asciiTheme="majorHAnsi" w:hAnsiTheme="majorHAnsi" w:cstheme="majorHAnsi"/>
          <w:sz w:val="22"/>
          <w:szCs w:val="22"/>
        </w:rPr>
        <w:t>Comments of the Statutory Finance Officer</w:t>
      </w:r>
    </w:p>
    <w:p w:rsidR="00E444CB" w:rsidRPr="00154BDB" w:rsidP="00E444CB">
      <w:pPr>
        <w:pStyle w:val="ListParagraph"/>
        <w:numPr>
          <w:ilvl w:val="0"/>
          <w:numId w:val="8"/>
        </w:numPr>
        <w:rPr>
          <w:rFonts w:cstheme="minorHAnsi"/>
          <w:bCs/>
          <w:iCs/>
        </w:rPr>
      </w:pPr>
      <w:r w:rsidRPr="00154BDB">
        <w:rPr>
          <w:rFonts w:cstheme="minorHAnsi"/>
          <w:bCs/>
          <w:iCs/>
        </w:rPr>
        <w:t>The delivery of Corporate Priority Projects are supported by budgets included within the Medium-Term Financial Strategy.</w:t>
      </w:r>
    </w:p>
    <w:p w:rsidR="00E444CB" w:rsidRPr="00ED4FF1" w:rsidP="00E444CB">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Comments </w:t>
      </w:r>
      <w:r w:rsidRPr="00ED4FF1">
        <w:rPr>
          <w:rFonts w:asciiTheme="majorHAnsi" w:hAnsiTheme="majorHAnsi" w:cstheme="majorHAnsi"/>
          <w:sz w:val="22"/>
          <w:szCs w:val="22"/>
        </w:rPr>
        <w:t>of the Monitoring Officer</w:t>
      </w:r>
    </w:p>
    <w:p w:rsidR="00E444CB" w:rsidRPr="00945011" w:rsidP="00E444CB">
      <w:pPr>
        <w:pStyle w:val="ListParagraph"/>
        <w:numPr>
          <w:ilvl w:val="0"/>
          <w:numId w:val="8"/>
        </w:numPr>
        <w:rPr>
          <w:rFonts w:cstheme="minorHAnsi"/>
          <w:bCs/>
          <w:iCs/>
        </w:rPr>
      </w:pPr>
      <w:r w:rsidRPr="00945011">
        <w:rPr>
          <w:rFonts w:cstheme="minorHAnsi"/>
          <w:bCs/>
          <w:iCs/>
        </w:rPr>
        <w:t>There are no concerns to raise from a Monitoring Officer perspective. The report is for noting. It is part of our commitment to act in an open and transparent manner.</w:t>
      </w:r>
    </w:p>
    <w:p w:rsidR="00E444CB" w:rsidP="00E444CB">
      <w:pPr>
        <w:rPr>
          <w:rStyle w:val="Heading2Char"/>
          <w:rFonts w:asciiTheme="majorHAnsi" w:eastAsiaTheme="minorHAnsi" w:hAnsiTheme="majorHAnsi" w:cstheme="majorHAnsi"/>
          <w:sz w:val="22"/>
          <w:szCs w:val="22"/>
        </w:rPr>
      </w:pPr>
    </w:p>
    <w:p w:rsidR="00E444CB" w:rsidP="00E444CB">
      <w:pPr>
        <w:rPr>
          <w:rFonts w:eastAsia="Times New Roman" w:cstheme="minorHAnsi"/>
          <w:b/>
          <w:bCs/>
          <w:color w:val="000000" w:themeColor="text1"/>
          <w:kern w:val="36"/>
          <w:sz w:val="14"/>
          <w:szCs w:val="14"/>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rsidR="00E444CB" w:rsidP="00E444CB">
      <w:pPr>
        <w:pStyle w:val="ListParagraph"/>
        <w:numPr>
          <w:ilvl w:val="0"/>
          <w:numId w:val="16"/>
        </w:numPr>
        <w:spacing w:after="0" w:line="240" w:lineRule="auto"/>
        <w:ind w:left="1134" w:hanging="425"/>
        <w:rPr>
          <w:rFonts w:ascii="Arial" w:eastAsia="Calibri" w:hAnsi="Arial" w:cs="Times New Roman"/>
        </w:rPr>
      </w:pPr>
      <w:r w:rsidRPr="009C1168">
        <w:rPr>
          <w:rFonts w:ascii="Arial" w:eastAsia="Calibri" w:hAnsi="Arial" w:cs="Times New Roman"/>
        </w:rPr>
        <w:t xml:space="preserve">Corporate Plan, approved 30th </w:t>
      </w:r>
      <w:r w:rsidRPr="009C1168">
        <w:rPr>
          <w:rFonts w:ascii="Arial" w:eastAsia="Calibri" w:hAnsi="Arial" w:cs="Times New Roman"/>
        </w:rPr>
        <w:t>September 2020</w:t>
      </w:r>
    </w:p>
    <w:p w:rsidR="00E444CB" w:rsidRPr="00201F8E" w:rsidP="00E444CB">
      <w:pPr>
        <w:spacing w:after="0" w:line="240" w:lineRule="auto"/>
        <w:rPr>
          <w:rFonts w:ascii="Arial" w:eastAsia="Calibri" w:hAnsi="Arial" w:cs="Times New Roman"/>
        </w:rPr>
      </w:pPr>
    </w:p>
    <w:p w:rsidR="00E444CB" w:rsidRPr="00ED4FF1" w:rsidP="00E444CB">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rsidR="00E444CB" w:rsidRPr="009C1168" w:rsidP="00E444CB">
      <w:pPr>
        <w:pStyle w:val="ListParagraph"/>
        <w:numPr>
          <w:ilvl w:val="0"/>
          <w:numId w:val="16"/>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1 - Performance of the Corporate Strategy Measures </w:t>
      </w:r>
    </w:p>
    <w:p w:rsidR="00E444CB" w:rsidP="00E444CB">
      <w:pPr>
        <w:pStyle w:val="ListParagraph"/>
        <w:numPr>
          <w:ilvl w:val="0"/>
          <w:numId w:val="16"/>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2 - Key Organisational Performance Measures </w:t>
      </w:r>
    </w:p>
    <w:p w:rsidR="00E444CB" w:rsidRPr="00493E90" w:rsidP="00E444CB">
      <w:pPr>
        <w:pStyle w:val="ListParagraph"/>
        <w:numPr>
          <w:ilvl w:val="0"/>
          <w:numId w:val="16"/>
        </w:numPr>
        <w:spacing w:after="0" w:line="240" w:lineRule="auto"/>
        <w:ind w:left="1134" w:hanging="425"/>
        <w:rPr>
          <w:rFonts w:ascii="Arial" w:eastAsia="Calibri" w:hAnsi="Arial" w:cs="Times New Roman"/>
        </w:rPr>
      </w:pPr>
      <w:r w:rsidRPr="00493E90">
        <w:rPr>
          <w:rFonts w:ascii="Arial" w:eastAsia="Calibri" w:hAnsi="Arial" w:cs="Times New Roman"/>
        </w:rPr>
        <w:t>Appendix 3</w:t>
      </w:r>
      <w:r>
        <w:rPr>
          <w:rFonts w:ascii="Arial" w:eastAsia="Calibri" w:hAnsi="Arial" w:cs="Times New Roman"/>
        </w:rPr>
        <w:t xml:space="preserve"> -</w:t>
      </w:r>
      <w:r w:rsidRPr="00493E90">
        <w:rPr>
          <w:rFonts w:ascii="Arial" w:eastAsia="Calibri" w:hAnsi="Arial" w:cs="Times New Roman"/>
        </w:rPr>
        <w:t xml:space="preserve"> Status of the 2020/21 Corporate Strategy projects</w:t>
      </w:r>
    </w:p>
    <w:p w:rsidR="00E444CB" w:rsidP="00E444CB">
      <w:pPr>
        <w:spacing w:after="0" w:line="240" w:lineRule="auto"/>
        <w:rPr>
          <w:rFonts w:ascii="Arial" w:eastAsia="Calibri" w:hAnsi="Arial" w:cs="Times New Roma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5"/>
        <w:gridCol w:w="2073"/>
        <w:gridCol w:w="1329"/>
        <w:gridCol w:w="1418"/>
      </w:tblGrid>
      <w:tr w:rsidTr="00E444CB">
        <w:tblPrEx>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4565" w:type="dxa"/>
            <w:tcBorders>
              <w:top w:val="single" w:sz="4" w:space="0" w:color="auto"/>
              <w:left w:val="single" w:sz="4" w:space="0" w:color="auto"/>
              <w:bottom w:val="single" w:sz="4" w:space="0" w:color="auto"/>
              <w:right w:val="single" w:sz="4" w:space="0" w:color="auto"/>
            </w:tcBorders>
            <w:shd w:val="clear" w:color="auto" w:fill="auto"/>
          </w:tcPr>
          <w:p w:rsidR="00E444CB" w:rsidRPr="00D4431F" w:rsidP="00E444CB">
            <w:pPr>
              <w:spacing w:line="240" w:lineRule="auto"/>
              <w:jc w:val="both"/>
              <w:rPr>
                <w:rFonts w:cstheme="minorHAnsi"/>
                <w:bCs/>
              </w:rPr>
            </w:pPr>
            <w:r w:rsidRPr="00D4431F">
              <w:rPr>
                <w:rFonts w:cstheme="minorHAnsi"/>
                <w:bCs/>
              </w:rPr>
              <w:t>Report Author:</w:t>
            </w:r>
          </w:p>
        </w:tc>
        <w:tc>
          <w:tcPr>
            <w:tcW w:w="2073" w:type="dxa"/>
            <w:tcBorders>
              <w:top w:val="single" w:sz="4" w:space="0" w:color="auto"/>
              <w:left w:val="single" w:sz="4" w:space="0" w:color="auto"/>
              <w:bottom w:val="single" w:sz="4" w:space="0" w:color="auto"/>
              <w:right w:val="single" w:sz="4" w:space="0" w:color="auto"/>
            </w:tcBorders>
          </w:tcPr>
          <w:p w:rsidR="00E444CB" w:rsidRPr="00D4431F" w:rsidP="00E444CB">
            <w:pPr>
              <w:spacing w:line="240" w:lineRule="auto"/>
              <w:jc w:val="both"/>
              <w:rPr>
                <w:rFonts w:cstheme="minorHAnsi"/>
                <w:bCs/>
              </w:rPr>
            </w:pPr>
            <w:r w:rsidRPr="00D4431F">
              <w:rPr>
                <w:rFonts w:cstheme="minorHAnsi"/>
                <w:bCs/>
              </w:rPr>
              <w:t>Email:</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E444CB" w:rsidRPr="00D4431F" w:rsidP="00E444CB">
            <w:pPr>
              <w:spacing w:line="240" w:lineRule="auto"/>
              <w:jc w:val="both"/>
              <w:rPr>
                <w:rFonts w:cstheme="minorHAnsi"/>
                <w:bCs/>
              </w:rPr>
            </w:pPr>
            <w:r w:rsidRPr="00D4431F">
              <w:rPr>
                <w:rFonts w:cstheme="minorHAnsi"/>
                <w:bCs/>
              </w:rPr>
              <w:t>Telephone: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44CB" w:rsidRPr="00D4431F" w:rsidP="00E444CB">
            <w:pPr>
              <w:spacing w:line="240" w:lineRule="auto"/>
              <w:jc w:val="both"/>
              <w:rPr>
                <w:rFonts w:cstheme="minorHAnsi"/>
                <w:bCs/>
              </w:rPr>
            </w:pPr>
            <w:r w:rsidRPr="00D4431F">
              <w:rPr>
                <w:rFonts w:cstheme="minorHAnsi"/>
                <w:bCs/>
              </w:rPr>
              <w:t>Date:</w:t>
            </w:r>
          </w:p>
        </w:tc>
      </w:tr>
      <w:tr w:rsidTr="00E444CB">
        <w:tblPrEx>
          <w:tblW w:w="9385" w:type="dxa"/>
          <w:tblInd w:w="108" w:type="dxa"/>
          <w:tblLayout w:type="fixed"/>
          <w:tblLook w:val="04A0"/>
        </w:tblPrEx>
        <w:trPr>
          <w:trHeight w:val="1404"/>
        </w:trPr>
        <w:tc>
          <w:tcPr>
            <w:tcW w:w="4565" w:type="dxa"/>
            <w:tcBorders>
              <w:top w:val="single" w:sz="4" w:space="0" w:color="auto"/>
              <w:left w:val="single" w:sz="4" w:space="0" w:color="auto"/>
              <w:bottom w:val="single" w:sz="4" w:space="0" w:color="auto"/>
              <w:right w:val="single" w:sz="4" w:space="0" w:color="auto"/>
            </w:tcBorders>
            <w:shd w:val="clear" w:color="auto" w:fill="auto"/>
          </w:tcPr>
          <w:p w:rsidR="00E444CB" w:rsidP="00E444CB">
            <w:pPr>
              <w:spacing w:after="0" w:line="240" w:lineRule="auto"/>
              <w:rPr>
                <w:rFonts w:cstheme="minorHAnsi"/>
                <w:bCs/>
              </w:rPr>
            </w:pPr>
            <w:r w:rsidRPr="009C1168">
              <w:rPr>
                <w:rFonts w:cstheme="minorHAnsi"/>
                <w:bCs/>
              </w:rPr>
              <w:t>Howard</w:t>
            </w:r>
            <w:r>
              <w:rPr>
                <w:rFonts w:cstheme="minorHAnsi"/>
                <w:bCs/>
              </w:rPr>
              <w:t xml:space="preserve"> </w:t>
            </w:r>
            <w:r w:rsidRPr="009C1168">
              <w:rPr>
                <w:rFonts w:cstheme="minorHAnsi"/>
                <w:bCs/>
              </w:rPr>
              <w:t>Anthony</w:t>
            </w:r>
            <w:r>
              <w:rPr>
                <w:rFonts w:cstheme="minorHAnsi"/>
                <w:bCs/>
              </w:rPr>
              <w:t xml:space="preserve"> (</w:t>
            </w:r>
            <w:r w:rsidRPr="009C1168">
              <w:rPr>
                <w:rFonts w:cstheme="minorHAnsi"/>
                <w:bCs/>
              </w:rPr>
              <w:t>Shared Service Performance and Partnership Team Leader</w:t>
            </w:r>
            <w:r>
              <w:rPr>
                <w:rFonts w:cstheme="minorHAnsi"/>
                <w:bCs/>
              </w:rPr>
              <w:t>)</w:t>
            </w:r>
            <w:r w:rsidRPr="009C1168">
              <w:rPr>
                <w:rFonts w:cstheme="minorHAnsi"/>
                <w:bCs/>
              </w:rPr>
              <w:t>,</w:t>
            </w:r>
          </w:p>
          <w:p w:rsidR="00E444CB" w:rsidRPr="009C1168" w:rsidP="00E444CB">
            <w:pPr>
              <w:spacing w:after="0" w:line="240" w:lineRule="auto"/>
              <w:rPr>
                <w:rFonts w:cstheme="minorHAnsi"/>
                <w:bCs/>
              </w:rPr>
            </w:pPr>
            <w:r w:rsidRPr="009C1168">
              <w:rPr>
                <w:rFonts w:cstheme="minorHAnsi"/>
                <w:bCs/>
              </w:rPr>
              <w:t>Michael Johnson</w:t>
            </w:r>
            <w:r>
              <w:rPr>
                <w:rFonts w:cstheme="minorHAnsi"/>
                <w:bCs/>
              </w:rPr>
              <w:t xml:space="preserve"> (</w:t>
            </w:r>
            <w:r w:rsidRPr="009C1168">
              <w:rPr>
                <w:rFonts w:cstheme="minorHAnsi"/>
                <w:bCs/>
              </w:rPr>
              <w:t>Shared Service Performance and Policy Officer)</w:t>
            </w:r>
          </w:p>
        </w:tc>
        <w:tc>
          <w:tcPr>
            <w:tcW w:w="2073" w:type="dxa"/>
            <w:tcBorders>
              <w:top w:val="single" w:sz="4" w:space="0" w:color="auto"/>
              <w:left w:val="single" w:sz="4" w:space="0" w:color="auto"/>
              <w:bottom w:val="single" w:sz="4" w:space="0" w:color="auto"/>
              <w:right w:val="single" w:sz="4" w:space="0" w:color="auto"/>
            </w:tcBorders>
          </w:tcPr>
          <w:p w:rsidR="00E444CB" w:rsidP="00E444CB">
            <w:pPr>
              <w:spacing w:line="240" w:lineRule="auto"/>
              <w:jc w:val="both"/>
              <w:rPr>
                <w:rFonts w:cstheme="minorHAnsi"/>
                <w:bCs/>
              </w:rPr>
            </w:pPr>
            <w:r>
              <w:fldChar w:fldCharType="begin"/>
            </w:r>
            <w:r>
              <w:instrText xml:space="preserve"> HYPERLINK "mailto:Howard.anthony@southribble.gov.uk" </w:instrText>
            </w:r>
            <w:r>
              <w:fldChar w:fldCharType="separate"/>
            </w:r>
            <w:r w:rsidRPr="00201F8E">
              <w:rPr>
                <w:rStyle w:val="Hyperlink"/>
                <w:rFonts w:cstheme="minorHAnsi"/>
                <w:bCs/>
              </w:rPr>
              <w:t>Howard.anthony@southribble.gov.uk</w:t>
            </w:r>
            <w:r>
              <w:fldChar w:fldCharType="end"/>
            </w:r>
            <w:r>
              <w:rPr>
                <w:rFonts w:cstheme="minorHAnsi"/>
                <w:bCs/>
              </w:rPr>
              <w:t>,</w:t>
            </w:r>
          </w:p>
          <w:p w:rsidR="00E444CB" w:rsidP="00E444CB">
            <w:pPr>
              <w:spacing w:line="240" w:lineRule="auto"/>
              <w:jc w:val="both"/>
              <w:rPr>
                <w:rFonts w:cstheme="minorHAnsi"/>
                <w:bCs/>
              </w:rPr>
            </w:pPr>
            <w:r>
              <w:fldChar w:fldCharType="begin"/>
            </w:r>
            <w:r>
              <w:instrText xml:space="preserve"> HYPERLINK "mailto:Michael.johnson@southribble.gov.uk" </w:instrText>
            </w:r>
            <w:r>
              <w:fldChar w:fldCharType="separate"/>
            </w:r>
            <w:r w:rsidRPr="00201F8E">
              <w:rPr>
                <w:rStyle w:val="Hyperlink"/>
                <w:rFonts w:cstheme="minorHAnsi"/>
                <w:bCs/>
              </w:rPr>
              <w:t>Michael.johnson@southribble.gov.uk</w:t>
            </w:r>
            <w:r>
              <w:fldChar w:fldCharType="end"/>
            </w:r>
            <w:r>
              <w:rPr>
                <w:rFonts w:cstheme="minorHAnsi"/>
                <w:bCs/>
              </w:rPr>
              <w:t>,</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E444CB" w:rsidRPr="00D4431F" w:rsidP="00E444CB">
            <w:pPr>
              <w:spacing w:line="240" w:lineRule="auto"/>
              <w:jc w:val="both"/>
              <w:rPr>
                <w:rFonts w:cstheme="minorHAnsi"/>
                <w:bCs/>
              </w:rPr>
            </w:pPr>
            <w:r w:rsidRPr="009C1168">
              <w:rPr>
                <w:rFonts w:cstheme="minorHAnsi"/>
                <w:bCs/>
              </w:rPr>
              <w:t>01772 625546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44CB" w:rsidP="00E444CB">
            <w:pPr>
              <w:spacing w:line="240" w:lineRule="auto"/>
              <w:jc w:val="both"/>
              <w:rPr>
                <w:rFonts w:cstheme="minorHAnsi"/>
                <w:bCs/>
              </w:rPr>
            </w:pPr>
            <w:r>
              <w:rPr>
                <w:rFonts w:cstheme="minorHAnsi"/>
                <w:bCs/>
              </w:rPr>
              <w:t>25</w:t>
            </w:r>
            <w:r w:rsidRPr="00216907">
              <w:rPr>
                <w:rFonts w:cstheme="minorHAnsi"/>
                <w:bCs/>
              </w:rPr>
              <w:t>/</w:t>
            </w:r>
            <w:r>
              <w:rPr>
                <w:rFonts w:cstheme="minorHAnsi"/>
                <w:bCs/>
              </w:rPr>
              <w:t>02</w:t>
            </w:r>
            <w:r w:rsidRPr="00216907">
              <w:rPr>
                <w:rFonts w:cstheme="minorHAnsi"/>
                <w:bCs/>
              </w:rPr>
              <w:t>/2021</w:t>
            </w:r>
          </w:p>
        </w:tc>
      </w:tr>
    </w:tbl>
    <w:p w:rsidR="00E444CB">
      <w:pPr>
        <w:rPr>
          <w:rFonts w:cstheme="minorHAnsi"/>
          <w:bCs/>
          <w:color w:val="000000" w:themeColor="text1"/>
          <w:lang w:val="en-US"/>
        </w:rPr>
      </w:pPr>
    </w:p>
    <w:p w:rsidR="00E444CB">
      <w:pPr>
        <w:rPr>
          <w:rFonts w:cstheme="minorHAnsi"/>
          <w:bCs/>
          <w:color w:val="000000" w:themeColor="text1"/>
          <w:lang w:val="en-US"/>
        </w:rPr>
        <w:sectPr w:rsidSect="00E444CB">
          <w:pgSz w:w="11906" w:h="16838"/>
          <w:pgMar w:top="1440" w:right="1440" w:bottom="709" w:left="1440" w:header="708" w:footer="708" w:gutter="0"/>
          <w:cols w:space="708"/>
          <w:docGrid w:linePitch="360"/>
        </w:sectPr>
      </w:pPr>
    </w:p>
    <w:p w:rsidR="00E444CB">
      <w:pPr>
        <w:pStyle w:val="Heading2"/>
        <w:spacing w:before="0" w:beforeAutospacing="0"/>
        <w:ind w:left="-284"/>
        <w:rPr>
          <w:rFonts w:asciiTheme="majorHAnsi" w:hAnsiTheme="majorHAnsi" w:cstheme="majorHAnsi"/>
          <w:sz w:val="22"/>
          <w:szCs w:val="22"/>
        </w:rPr>
      </w:pPr>
      <w:r w:rsidRPr="00887342">
        <w:rPr>
          <w:rFonts w:asciiTheme="majorHAnsi" w:hAnsiTheme="majorHAnsi" w:cstheme="majorHAnsi"/>
          <w:sz w:val="22"/>
          <w:szCs w:val="22"/>
        </w:rPr>
        <w:t>Appendix 1 – Performance of the Corporate Strategy Measures</w:t>
      </w:r>
    </w:p>
    <w:tbl>
      <w:tblPr>
        <w:tblW w:w="110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2931"/>
        <w:gridCol w:w="755"/>
        <w:gridCol w:w="3070"/>
        <w:gridCol w:w="726"/>
        <w:gridCol w:w="2727"/>
      </w:tblGrid>
      <w:tr w:rsidTr="00E444CB">
        <w:tblPrEx>
          <w:tblW w:w="110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93"/>
        </w:trPr>
        <w:tc>
          <w:tcPr>
            <w:tcW w:w="830" w:type="dxa"/>
            <w:tcBorders>
              <w:right w:val="nil"/>
            </w:tcBorders>
            <w:shd w:val="clear" w:color="auto" w:fill="auto"/>
            <w:vAlign w:val="center"/>
          </w:tcPr>
          <w:p w:rsidR="00E444CB" w:rsidRPr="00E52C0D" w:rsidP="00E444CB">
            <w:pPr>
              <w:widowControl w:val="0"/>
              <w:spacing w:after="160" w:line="259" w:lineRule="auto"/>
              <w:contextualSpacing/>
              <w:jc w:val="center"/>
              <w:outlineLvl w:val="0"/>
              <w:rPr>
                <w:rFonts w:ascii="Arial" w:eastAsia="Arial" w:hAnsi="Arial" w:cs="Arial"/>
                <w:b/>
                <w:color w:val="00B050"/>
              </w:rPr>
            </w:pPr>
            <w:r w:rsidRPr="00E52C0D">
              <w:rPr>
                <w:rFonts w:ascii="Wingdings 3" w:eastAsia="Arial" w:hAnsi="Wingdings 3" w:cs="Times New Roman"/>
                <w:color w:val="FF0000"/>
                <w:sz w:val="32"/>
              </w:rPr>
              <w:sym w:font="Wingdings 3" w:char="F070"/>
            </w:r>
          </w:p>
        </w:tc>
        <w:tc>
          <w:tcPr>
            <w:tcW w:w="2931" w:type="dxa"/>
            <w:tcBorders>
              <w:left w:val="nil"/>
            </w:tcBorders>
            <w:shd w:val="clear" w:color="auto" w:fill="auto"/>
            <w:vAlign w:val="center"/>
          </w:tcPr>
          <w:p w:rsidR="00E444CB" w:rsidRPr="00E52C0D" w:rsidP="00E444CB">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Worse than target, outside threshold (5%)</w:t>
            </w:r>
          </w:p>
        </w:tc>
        <w:tc>
          <w:tcPr>
            <w:tcW w:w="755" w:type="dxa"/>
            <w:tcBorders>
              <w:right w:val="nil"/>
            </w:tcBorders>
            <w:vAlign w:val="center"/>
          </w:tcPr>
          <w:p w:rsidR="00E444CB" w:rsidRPr="00E52C0D" w:rsidP="00E444CB">
            <w:pPr>
              <w:widowControl w:val="0"/>
              <w:spacing w:after="160" w:line="259" w:lineRule="auto"/>
              <w:contextualSpacing/>
              <w:jc w:val="center"/>
              <w:outlineLvl w:val="0"/>
              <w:rPr>
                <w:rFonts w:ascii="Arial" w:eastAsia="Arial" w:hAnsi="Arial" w:cs="Arial"/>
                <w:bCs/>
                <w:color w:val="000000"/>
              </w:rPr>
            </w:pPr>
            <w:r w:rsidRPr="00430D84">
              <w:rPr>
                <w:rFonts w:ascii="Wingdings 2" w:eastAsia="Calibri" w:hAnsi="Wingdings 2" w:cstheme="minorHAnsi"/>
                <w:color w:val="0070C0"/>
                <w:sz w:val="32"/>
                <w:szCs w:val="32"/>
              </w:rPr>
              <w:sym w:font="Wingdings 2" w:char="F098"/>
            </w:r>
          </w:p>
        </w:tc>
        <w:tc>
          <w:tcPr>
            <w:tcW w:w="3070" w:type="dxa"/>
            <w:tcBorders>
              <w:left w:val="nil"/>
            </w:tcBorders>
            <w:vAlign w:val="center"/>
          </w:tcPr>
          <w:p w:rsidR="00E444CB" w:rsidRPr="00E52C0D" w:rsidP="00E444CB">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 xml:space="preserve">Worse than target but within </w:t>
            </w:r>
            <w:r w:rsidRPr="00E52C0D">
              <w:rPr>
                <w:rFonts w:ascii="Arial" w:eastAsia="Arial" w:hAnsi="Arial" w:cs="Arial"/>
                <w:bCs/>
                <w:color w:val="000000"/>
              </w:rPr>
              <w:t>threshold (5%)</w:t>
            </w:r>
          </w:p>
        </w:tc>
        <w:tc>
          <w:tcPr>
            <w:tcW w:w="726" w:type="dxa"/>
            <w:tcBorders>
              <w:right w:val="nil"/>
            </w:tcBorders>
            <w:vAlign w:val="center"/>
          </w:tcPr>
          <w:p w:rsidR="00E444CB" w:rsidRPr="00E52C0D" w:rsidP="00E444CB">
            <w:pPr>
              <w:widowControl w:val="0"/>
              <w:spacing w:after="160" w:line="259" w:lineRule="auto"/>
              <w:contextualSpacing/>
              <w:outlineLvl w:val="0"/>
              <w:rPr>
                <w:rFonts w:ascii="Arial" w:eastAsia="Arial" w:hAnsi="Arial" w:cs="Arial"/>
                <w:bCs/>
                <w:color w:val="000000"/>
              </w:rPr>
            </w:pPr>
            <w:r w:rsidRPr="00E52C0D">
              <w:rPr>
                <w:rFonts w:ascii="Wingdings" w:eastAsia="Arial" w:hAnsi="Wingdings" w:cs="Times New Roman"/>
                <w:color w:val="00B050"/>
                <w:sz w:val="44"/>
              </w:rPr>
              <w:sym w:font="Wingdings" w:char="F0AB"/>
            </w:r>
          </w:p>
        </w:tc>
        <w:tc>
          <w:tcPr>
            <w:tcW w:w="2727" w:type="dxa"/>
            <w:tcBorders>
              <w:left w:val="nil"/>
            </w:tcBorders>
            <w:vAlign w:val="center"/>
          </w:tcPr>
          <w:p w:rsidR="00E444CB" w:rsidRPr="00E52C0D" w:rsidP="00E444CB">
            <w:pPr>
              <w:widowControl w:val="0"/>
              <w:spacing w:after="160" w:line="259" w:lineRule="auto"/>
              <w:contextualSpacing/>
              <w:outlineLvl w:val="0"/>
              <w:rPr>
                <w:rFonts w:ascii="Arial" w:eastAsia="Arial" w:hAnsi="Arial" w:cs="Arial"/>
                <w:bCs/>
                <w:color w:val="000000"/>
              </w:rPr>
            </w:pPr>
            <w:r w:rsidRPr="00E52C0D">
              <w:rPr>
                <w:rFonts w:ascii="Arial" w:eastAsia="Arial" w:hAnsi="Arial" w:cs="Arial"/>
                <w:bCs/>
                <w:color w:val="000000"/>
              </w:rPr>
              <w:t>Performance is better than target</w:t>
            </w:r>
          </w:p>
        </w:tc>
      </w:tr>
    </w:tbl>
    <w:p w:rsidR="006D7E7B" w:rsidP="00E444CB">
      <w:pPr>
        <w:pStyle w:val="Heading2"/>
        <w:spacing w:before="0" w:beforeAutospacing="0" w:after="0" w:afterAutospacing="0"/>
        <w:ind w:left="-284"/>
        <w:rPr>
          <w:rFonts w:asciiTheme="majorHAnsi" w:hAnsiTheme="majorHAnsi" w:cstheme="majorHAnsi"/>
          <w:sz w:val="22"/>
          <w:szCs w:val="22"/>
        </w:rPr>
      </w:pPr>
    </w:p>
    <w:p w:rsidR="00E444CB" w:rsidP="00E444CB">
      <w:pPr>
        <w:pStyle w:val="Heading2"/>
        <w:spacing w:before="0" w:beforeAutospacing="0" w:after="0" w:afterAutospacing="0"/>
        <w:ind w:left="-284"/>
        <w:rPr>
          <w:rFonts w:asciiTheme="majorHAnsi" w:hAnsiTheme="majorHAnsi" w:cstheme="majorHAnsi"/>
          <w:sz w:val="22"/>
          <w:szCs w:val="22"/>
        </w:rPr>
      </w:pPr>
      <w:r>
        <w:rPr>
          <w:rFonts w:asciiTheme="majorHAnsi" w:hAnsiTheme="majorHAnsi" w:cstheme="majorHAnsi"/>
          <w:sz w:val="22"/>
          <w:szCs w:val="22"/>
        </w:rPr>
        <w:t>Note trend shown is same time last year.</w:t>
      </w:r>
    </w:p>
    <w:tbl>
      <w:tblPr>
        <w:tblpPr w:leftFromText="180" w:rightFromText="180" w:vertAnchor="text" w:horzAnchor="margin" w:tblpXSpec="center" w:tblpY="251"/>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1134"/>
        <w:gridCol w:w="1276"/>
        <w:gridCol w:w="1559"/>
        <w:gridCol w:w="1134"/>
        <w:gridCol w:w="1134"/>
        <w:gridCol w:w="1461"/>
      </w:tblGrid>
      <w:tr w:rsidTr="00E444CB">
        <w:tblPrEx>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52"/>
        </w:trPr>
        <w:tc>
          <w:tcPr>
            <w:tcW w:w="3397" w:type="dxa"/>
            <w:shd w:val="clear" w:color="auto" w:fill="BFBFBF" w:themeFill="background1" w:themeFillShade="BF"/>
            <w:vAlign w:val="center"/>
          </w:tcPr>
          <w:p w:rsidR="00E444CB" w:rsidP="00E444CB">
            <w:pPr>
              <w:widowControl w:val="0"/>
              <w:jc w:val="center"/>
              <w:outlineLvl w:val="0"/>
              <w:rPr>
                <w:rFonts w:ascii="Arial" w:eastAsia="Arial" w:hAnsi="Arial" w:cs="Arial"/>
                <w:bCs/>
                <w:color w:val="000000"/>
              </w:rPr>
            </w:pPr>
            <w:bookmarkStart w:id="14" w:name="_Hlk97202676"/>
          </w:p>
          <w:p w:rsidR="00E444CB" w:rsidRPr="00922885" w:rsidP="00E444CB">
            <w:pPr>
              <w:widowControl w:val="0"/>
              <w:jc w:val="center"/>
              <w:outlineLvl w:val="0"/>
              <w:rPr>
                <w:rFonts w:eastAsia="Calibri" w:cs="Times New Roman"/>
                <w:b/>
                <w:bCs/>
              </w:rPr>
            </w:pPr>
            <w:r w:rsidRPr="00922885">
              <w:rPr>
                <w:rFonts w:eastAsia="Calibri" w:cs="Times New Roman"/>
                <w:b/>
                <w:bCs/>
              </w:rPr>
              <w:t>Indicator Name</w:t>
            </w:r>
          </w:p>
        </w:tc>
        <w:tc>
          <w:tcPr>
            <w:tcW w:w="1134" w:type="dxa"/>
            <w:shd w:val="clear" w:color="auto" w:fill="BFBFBF" w:themeFill="background1" w:themeFillShade="BF"/>
            <w:vAlign w:val="center"/>
          </w:tcPr>
          <w:p w:rsidR="00E444CB" w:rsidRPr="00922885" w:rsidP="00E444CB">
            <w:pPr>
              <w:widowControl w:val="0"/>
              <w:jc w:val="center"/>
              <w:outlineLvl w:val="0"/>
              <w:rPr>
                <w:rFonts w:eastAsia="Calibri" w:cs="Times New Roman"/>
                <w:b/>
                <w:bCs/>
              </w:rPr>
            </w:pPr>
            <w:r w:rsidRPr="00922885">
              <w:rPr>
                <w:rFonts w:eastAsia="Calibri" w:cs="Times New Roman"/>
                <w:b/>
                <w:bCs/>
              </w:rPr>
              <w:t>Polarity</w:t>
            </w:r>
          </w:p>
        </w:tc>
        <w:tc>
          <w:tcPr>
            <w:tcW w:w="1276" w:type="dxa"/>
            <w:shd w:val="clear" w:color="auto" w:fill="BFBFBF" w:themeFill="background1" w:themeFillShade="BF"/>
            <w:vAlign w:val="center"/>
          </w:tcPr>
          <w:p w:rsidR="00E444CB" w:rsidRPr="00922885" w:rsidP="00E444CB">
            <w:pPr>
              <w:widowControl w:val="0"/>
              <w:jc w:val="center"/>
              <w:outlineLvl w:val="0"/>
              <w:rPr>
                <w:rFonts w:eastAsia="Calibri" w:cs="Times New Roman"/>
                <w:b/>
                <w:bCs/>
              </w:rPr>
            </w:pPr>
            <w:r w:rsidRPr="00922885">
              <w:rPr>
                <w:rFonts w:eastAsia="Calibri" w:cs="Times New Roman"/>
                <w:b/>
                <w:bCs/>
              </w:rPr>
              <w:t>Target</w:t>
            </w:r>
          </w:p>
        </w:tc>
        <w:tc>
          <w:tcPr>
            <w:tcW w:w="1559" w:type="dxa"/>
            <w:shd w:val="clear" w:color="auto" w:fill="BFBFBF" w:themeFill="background1" w:themeFillShade="BF"/>
            <w:vAlign w:val="center"/>
          </w:tcPr>
          <w:p w:rsidR="00E444CB" w:rsidRPr="00922885" w:rsidP="00E444CB">
            <w:pPr>
              <w:widowControl w:val="0"/>
              <w:jc w:val="center"/>
              <w:outlineLvl w:val="0"/>
              <w:rPr>
                <w:rFonts w:eastAsia="Calibri" w:cs="Times New Roman"/>
                <w:b/>
                <w:bCs/>
              </w:rPr>
            </w:pPr>
            <w:r w:rsidRPr="00922885">
              <w:rPr>
                <w:rFonts w:eastAsia="Calibri" w:cs="Times New Roman"/>
                <w:b/>
                <w:bCs/>
              </w:rPr>
              <w:t xml:space="preserve">Comparison </w:t>
            </w:r>
          </w:p>
        </w:tc>
        <w:tc>
          <w:tcPr>
            <w:tcW w:w="1134" w:type="dxa"/>
            <w:shd w:val="clear" w:color="auto" w:fill="BFBFBF" w:themeFill="background1" w:themeFillShade="BF"/>
            <w:vAlign w:val="center"/>
          </w:tcPr>
          <w:p w:rsidR="00E444CB" w:rsidRPr="00922885" w:rsidP="00E444CB">
            <w:pPr>
              <w:widowControl w:val="0"/>
              <w:spacing w:after="0" w:line="240" w:lineRule="auto"/>
              <w:jc w:val="center"/>
              <w:outlineLvl w:val="0"/>
              <w:rPr>
                <w:rFonts w:eastAsia="Calibri" w:cs="Times New Roman"/>
                <w:b/>
                <w:bCs/>
              </w:rPr>
            </w:pPr>
            <w:r w:rsidRPr="00922885">
              <w:rPr>
                <w:rFonts w:eastAsia="Calibri" w:cs="Times New Roman"/>
                <w:b/>
                <w:bCs/>
              </w:rPr>
              <w:t xml:space="preserve">Quarter </w:t>
            </w:r>
            <w:r>
              <w:rPr>
                <w:rFonts w:eastAsia="Calibri" w:cs="Times New Roman"/>
                <w:b/>
                <w:bCs/>
              </w:rPr>
              <w:t>3</w:t>
            </w:r>
          </w:p>
          <w:p w:rsidR="00E444CB" w:rsidRPr="00922885" w:rsidP="00E444CB">
            <w:pPr>
              <w:widowControl w:val="0"/>
              <w:spacing w:after="0" w:line="240" w:lineRule="auto"/>
              <w:jc w:val="center"/>
              <w:outlineLvl w:val="0"/>
              <w:rPr>
                <w:rFonts w:eastAsia="Calibri" w:cs="Times New Roman"/>
                <w:b/>
                <w:bCs/>
              </w:rPr>
            </w:pPr>
            <w:r w:rsidRPr="00922885">
              <w:rPr>
                <w:rFonts w:eastAsia="Calibri" w:cs="Times New Roman"/>
                <w:b/>
                <w:bCs/>
              </w:rPr>
              <w:t>202</w:t>
            </w:r>
            <w:r>
              <w:rPr>
                <w:rFonts w:eastAsia="Calibri" w:cs="Times New Roman"/>
                <w:b/>
                <w:bCs/>
              </w:rPr>
              <w:t>1/22</w:t>
            </w:r>
          </w:p>
        </w:tc>
        <w:tc>
          <w:tcPr>
            <w:tcW w:w="1134" w:type="dxa"/>
            <w:shd w:val="clear" w:color="auto" w:fill="BFBFBF" w:themeFill="background1" w:themeFillShade="BF"/>
            <w:vAlign w:val="center"/>
          </w:tcPr>
          <w:p w:rsidR="00E444CB" w:rsidRPr="00922885" w:rsidP="00E444CB">
            <w:pPr>
              <w:widowControl w:val="0"/>
              <w:jc w:val="center"/>
              <w:outlineLvl w:val="0"/>
              <w:rPr>
                <w:rFonts w:eastAsia="Calibri" w:cs="Times New Roman"/>
                <w:b/>
                <w:bCs/>
              </w:rPr>
            </w:pPr>
            <w:r w:rsidRPr="00922885">
              <w:rPr>
                <w:rFonts w:eastAsia="Calibri" w:cs="Times New Roman"/>
                <w:b/>
                <w:bCs/>
              </w:rPr>
              <w:t>Symbol</w:t>
            </w:r>
          </w:p>
        </w:tc>
        <w:tc>
          <w:tcPr>
            <w:tcW w:w="1461" w:type="dxa"/>
            <w:shd w:val="clear" w:color="auto" w:fill="BFBFBF" w:themeFill="background1" w:themeFillShade="BF"/>
            <w:vAlign w:val="center"/>
          </w:tcPr>
          <w:p w:rsidR="00E444CB" w:rsidRPr="00922885" w:rsidP="00E444CB">
            <w:pPr>
              <w:widowControl w:val="0"/>
              <w:jc w:val="center"/>
              <w:outlineLvl w:val="0"/>
              <w:rPr>
                <w:rFonts w:eastAsia="Calibri" w:cs="Times New Roman"/>
                <w:b/>
                <w:bCs/>
              </w:rPr>
            </w:pPr>
            <w:r w:rsidRPr="00922885">
              <w:rPr>
                <w:rFonts w:eastAsia="Calibri" w:cs="Times New Roman"/>
                <w:b/>
                <w:bCs/>
              </w:rPr>
              <w:t>Trend</w:t>
            </w:r>
          </w:p>
        </w:tc>
      </w:tr>
      <w:tr w:rsidTr="00E444CB">
        <w:tblPrEx>
          <w:tblW w:w="11095" w:type="dxa"/>
          <w:tblLayout w:type="fixed"/>
          <w:tblLook w:val="04A0"/>
        </w:tblPrEx>
        <w:trPr>
          <w:trHeight w:val="810"/>
        </w:trPr>
        <w:tc>
          <w:tcPr>
            <w:tcW w:w="11095" w:type="dxa"/>
            <w:gridSpan w:val="7"/>
            <w:tcBorders>
              <w:right w:val="single" w:sz="8" w:space="0" w:color="auto"/>
            </w:tcBorders>
            <w:shd w:val="clear" w:color="auto" w:fill="auto"/>
            <w:vAlign w:val="center"/>
          </w:tcPr>
          <w:p w:rsidR="00E444CB" w:rsidRPr="00922885" w:rsidP="00E444CB">
            <w:pPr>
              <w:widowControl w:val="0"/>
              <w:spacing w:line="256" w:lineRule="auto"/>
              <w:contextualSpacing/>
              <w:outlineLvl w:val="0"/>
              <w:rPr>
                <w:rFonts w:eastAsia="Calibri" w:cs="Times New Roman"/>
                <w:b/>
                <w:bCs/>
                <w:color w:val="FF0000"/>
                <w:sz w:val="24"/>
                <w:szCs w:val="24"/>
              </w:rPr>
            </w:pPr>
            <w:r w:rsidRPr="00922885">
              <w:rPr>
                <w:rFonts w:eastAsia="Calibri" w:cs="Times New Roman"/>
                <w:b/>
                <w:bCs/>
                <w:color w:val="0070C0"/>
                <w:sz w:val="24"/>
                <w:szCs w:val="24"/>
              </w:rPr>
              <w:t>An Exemplary Council</w:t>
            </w:r>
          </w:p>
        </w:tc>
      </w:tr>
      <w:tr w:rsidTr="00E444CB">
        <w:tblPrEx>
          <w:tblW w:w="11095" w:type="dxa"/>
          <w:tblLayout w:type="fixed"/>
          <w:tblLook w:val="04A0"/>
        </w:tblPrEx>
        <w:trPr>
          <w:trHeight w:val="810"/>
        </w:trPr>
        <w:tc>
          <w:tcPr>
            <w:tcW w:w="3397" w:type="dxa"/>
            <w:shd w:val="clear" w:color="auto" w:fill="auto"/>
            <w:vAlign w:val="center"/>
          </w:tcPr>
          <w:p w:rsidR="00E444CB" w:rsidRPr="00922885" w:rsidP="00E444CB">
            <w:pPr>
              <w:widowControl w:val="0"/>
              <w:spacing w:line="256" w:lineRule="auto"/>
              <w:contextualSpacing/>
              <w:outlineLvl w:val="0"/>
              <w:rPr>
                <w:rFonts w:eastAsia="Calibri" w:cs="Times New Roman"/>
              </w:rPr>
            </w:pPr>
            <w:bookmarkStart w:id="15" w:name="_Hlk78461540"/>
            <w:r w:rsidRPr="00922885">
              <w:rPr>
                <w:rFonts w:eastAsia="Calibri" w:cs="Times New Roman"/>
              </w:rPr>
              <w:t xml:space="preserve">At least 40% of service requests will be received via self-service channels </w:t>
            </w:r>
            <w:bookmarkEnd w:id="15"/>
          </w:p>
        </w:tc>
        <w:tc>
          <w:tcPr>
            <w:tcW w:w="1134" w:type="dxa"/>
            <w:vAlign w:val="center"/>
          </w:tcPr>
          <w:p w:rsidR="00E444CB" w:rsidRPr="00922885" w:rsidP="00E444CB">
            <w:pPr>
              <w:widowControl w:val="0"/>
              <w:spacing w:line="256" w:lineRule="auto"/>
              <w:contextualSpacing/>
              <w:jc w:val="center"/>
              <w:outlineLvl w:val="0"/>
              <w:rPr>
                <w:rFonts w:eastAsia="Calibri" w:cs="Times New Roman"/>
              </w:rPr>
            </w:pPr>
            <w:r w:rsidRPr="00922885">
              <w:rPr>
                <w:rFonts w:eastAsia="Calibri" w:cs="Times New Roman"/>
              </w:rPr>
              <w:t>Bigger is better</w:t>
            </w:r>
          </w:p>
        </w:tc>
        <w:tc>
          <w:tcPr>
            <w:tcW w:w="1276" w:type="dxa"/>
            <w:shd w:val="clear" w:color="auto" w:fill="auto"/>
            <w:vAlign w:val="center"/>
          </w:tcPr>
          <w:p w:rsidR="00E444CB" w:rsidRPr="00922885" w:rsidP="00E444CB">
            <w:pPr>
              <w:widowControl w:val="0"/>
              <w:spacing w:line="256" w:lineRule="auto"/>
              <w:contextualSpacing/>
              <w:jc w:val="center"/>
              <w:outlineLvl w:val="0"/>
              <w:rPr>
                <w:rFonts w:eastAsia="Calibri" w:cs="Times New Roman"/>
              </w:rPr>
            </w:pPr>
            <w:r w:rsidRPr="00922885">
              <w:rPr>
                <w:rFonts w:eastAsia="Calibri" w:cs="Times New Roman"/>
              </w:rPr>
              <w:t>40%</w:t>
            </w:r>
          </w:p>
        </w:tc>
        <w:tc>
          <w:tcPr>
            <w:tcW w:w="1559" w:type="dxa"/>
            <w:vAlign w:val="center"/>
          </w:tcPr>
          <w:p w:rsidR="00E444CB" w:rsidRPr="00922885" w:rsidP="00E444CB">
            <w:pPr>
              <w:widowControl w:val="0"/>
              <w:spacing w:line="256" w:lineRule="auto"/>
              <w:contextualSpacing/>
              <w:jc w:val="center"/>
              <w:outlineLvl w:val="0"/>
              <w:rPr>
                <w:rFonts w:eastAsia="Arial" w:cs="Times New Roman"/>
                <w:lang w:val="en-US"/>
              </w:rPr>
            </w:pPr>
            <w:r w:rsidRPr="00922885">
              <w:rPr>
                <w:rFonts w:eastAsia="Arial" w:cs="Times New Roman"/>
                <w:lang w:val="en-US"/>
              </w:rPr>
              <w:t>25</w:t>
            </w:r>
            <w:r>
              <w:rPr>
                <w:rFonts w:eastAsia="Arial" w:cs="Times New Roman"/>
                <w:lang w:val="en-US"/>
              </w:rPr>
              <w:t>.78%</w:t>
            </w:r>
          </w:p>
          <w:p w:rsidR="00E444CB" w:rsidRPr="00922885" w:rsidP="00E444CB">
            <w:pPr>
              <w:widowControl w:val="0"/>
              <w:spacing w:line="256" w:lineRule="auto"/>
              <w:contextualSpacing/>
              <w:jc w:val="center"/>
              <w:outlineLvl w:val="0"/>
              <w:rPr>
                <w:rFonts w:eastAsia="Arial" w:cs="Times New Roman"/>
                <w:lang w:val="en-US"/>
              </w:rPr>
            </w:pPr>
            <w:r w:rsidRPr="00922885">
              <w:rPr>
                <w:rFonts w:eastAsia="Arial" w:cs="Times New Roman"/>
                <w:lang w:val="en-US"/>
              </w:rPr>
              <w:t>(Q</w:t>
            </w:r>
            <w:r>
              <w:rPr>
                <w:rFonts w:eastAsia="Arial" w:cs="Times New Roman"/>
                <w:lang w:val="en-US"/>
              </w:rPr>
              <w:t>2:20</w:t>
            </w:r>
            <w:r w:rsidRPr="00922885">
              <w:rPr>
                <w:rFonts w:eastAsia="Arial" w:cs="Times New Roman"/>
                <w:lang w:val="en-US"/>
              </w:rPr>
              <w:t>2</w:t>
            </w:r>
            <w:r>
              <w:rPr>
                <w:rFonts w:eastAsia="Arial" w:cs="Times New Roman"/>
                <w:lang w:val="en-US"/>
              </w:rPr>
              <w:t>1</w:t>
            </w:r>
            <w:r w:rsidRPr="00922885">
              <w:rPr>
                <w:rFonts w:eastAsia="Arial" w:cs="Times New Roman"/>
                <w:lang w:val="en-US"/>
              </w:rPr>
              <w:t>/2</w:t>
            </w:r>
            <w:r>
              <w:rPr>
                <w:rFonts w:eastAsia="Arial" w:cs="Times New Roman"/>
                <w:lang w:val="en-US"/>
              </w:rPr>
              <w:t>2</w:t>
            </w:r>
            <w:r w:rsidRPr="00922885">
              <w:rPr>
                <w:rFonts w:eastAsia="Arial" w:cs="Times New Roman"/>
                <w:lang w:val="en-US"/>
              </w:rPr>
              <w:t>)</w:t>
            </w:r>
          </w:p>
        </w:tc>
        <w:tc>
          <w:tcPr>
            <w:tcW w:w="1134" w:type="dxa"/>
            <w:shd w:val="clear" w:color="auto" w:fill="F2F2F2" w:themeFill="background1" w:themeFillShade="F2"/>
            <w:vAlign w:val="center"/>
          </w:tcPr>
          <w:p w:rsidR="00E444CB" w:rsidRPr="00922885" w:rsidP="00E444CB">
            <w:pPr>
              <w:widowControl w:val="0"/>
              <w:spacing w:line="256" w:lineRule="auto"/>
              <w:contextualSpacing/>
              <w:jc w:val="center"/>
              <w:outlineLvl w:val="0"/>
              <w:rPr>
                <w:rFonts w:eastAsia="Calibri" w:cs="Times New Roman"/>
                <w:b/>
                <w:bCs/>
              </w:rPr>
            </w:pPr>
            <w:r>
              <w:rPr>
                <w:rFonts w:eastAsia="Calibri" w:cs="Times New Roman"/>
                <w:b/>
                <w:bCs/>
              </w:rPr>
              <w:t>22.75%</w:t>
            </w:r>
          </w:p>
        </w:tc>
        <w:tc>
          <w:tcPr>
            <w:tcW w:w="1134" w:type="dxa"/>
            <w:shd w:val="clear" w:color="auto" w:fill="auto"/>
            <w:vAlign w:val="center"/>
          </w:tcPr>
          <w:p w:rsidR="00E444CB" w:rsidRPr="00922885" w:rsidP="00E444CB">
            <w:pPr>
              <w:widowControl w:val="0"/>
              <w:spacing w:line="256" w:lineRule="auto"/>
              <w:contextualSpacing/>
              <w:jc w:val="center"/>
              <w:outlineLvl w:val="0"/>
              <w:rPr>
                <w:rFonts w:eastAsia="Arial" w:cs="Times New Roman"/>
                <w:lang w:val="en-US"/>
              </w:rPr>
            </w:pPr>
            <w:r w:rsidRPr="00F12C84">
              <w:rPr>
                <w:rFonts w:ascii="Wingdings 3" w:eastAsia="Arial" w:hAnsi="Wingdings 3" w:cs="Times New Roman"/>
                <w:color w:val="FF0000"/>
                <w:sz w:val="32"/>
              </w:rPr>
              <w:sym w:font="Wingdings 3" w:char="F070"/>
            </w:r>
          </w:p>
        </w:tc>
        <w:tc>
          <w:tcPr>
            <w:tcW w:w="1461" w:type="dxa"/>
            <w:shd w:val="clear" w:color="auto" w:fill="auto"/>
            <w:vAlign w:val="center"/>
          </w:tcPr>
          <w:p w:rsidR="00E444CB" w:rsidRPr="00AC39D2" w:rsidP="00E444CB">
            <w:pPr>
              <w:widowControl w:val="0"/>
              <w:spacing w:line="256" w:lineRule="auto"/>
              <w:contextualSpacing/>
              <w:jc w:val="center"/>
              <w:outlineLvl w:val="0"/>
              <w:rPr>
                <w:rFonts w:eastAsia="Calibri" w:cs="Times New Roman"/>
                <w:color w:val="FF0000"/>
              </w:rPr>
            </w:pPr>
            <w:r w:rsidRPr="00AC39D2">
              <w:rPr>
                <w:rFonts w:eastAsia="Calibri" w:cs="Times New Roman"/>
                <w:color w:val="FF0000"/>
              </w:rPr>
              <w:t>Worse than Q3:2020/21</w:t>
            </w:r>
          </w:p>
        </w:tc>
      </w:tr>
      <w:tr w:rsidTr="00E444CB">
        <w:tblPrEx>
          <w:tblW w:w="11095" w:type="dxa"/>
          <w:tblLayout w:type="fixed"/>
          <w:tblLook w:val="04A0"/>
        </w:tblPrEx>
        <w:trPr>
          <w:trHeight w:val="810"/>
        </w:trPr>
        <w:tc>
          <w:tcPr>
            <w:tcW w:w="11095" w:type="dxa"/>
            <w:gridSpan w:val="7"/>
            <w:tcBorders>
              <w:right w:val="single" w:sz="8" w:space="0" w:color="auto"/>
            </w:tcBorders>
            <w:shd w:val="clear" w:color="auto" w:fill="auto"/>
            <w:vAlign w:val="center"/>
          </w:tcPr>
          <w:p w:rsidR="00E444CB" w:rsidRPr="00922885" w:rsidP="00E444CB">
            <w:pPr>
              <w:widowControl w:val="0"/>
              <w:spacing w:line="256" w:lineRule="auto"/>
              <w:contextualSpacing/>
              <w:outlineLvl w:val="0"/>
              <w:rPr>
                <w:rFonts w:eastAsia="Calibri" w:cs="Times New Roman"/>
                <w:sz w:val="16"/>
                <w:szCs w:val="16"/>
              </w:rPr>
            </w:pPr>
            <w:r w:rsidRPr="00922885">
              <w:rPr>
                <w:rFonts w:eastAsia="Calibri" w:cs="Times New Roman"/>
                <w:b/>
                <w:bCs/>
                <w:color w:val="FF0000"/>
                <w:sz w:val="24"/>
              </w:rPr>
              <w:t>Thriving Communities</w:t>
            </w:r>
          </w:p>
        </w:tc>
      </w:tr>
      <w:tr w:rsidTr="00E444CB">
        <w:tblPrEx>
          <w:tblW w:w="11095" w:type="dxa"/>
          <w:tblLayout w:type="fixed"/>
          <w:tblLook w:val="04A0"/>
        </w:tblPrEx>
        <w:trPr>
          <w:trHeight w:val="810"/>
        </w:trPr>
        <w:tc>
          <w:tcPr>
            <w:tcW w:w="3397" w:type="dxa"/>
            <w:tcBorders>
              <w:right w:val="single" w:sz="8" w:space="0" w:color="auto"/>
            </w:tcBorders>
            <w:shd w:val="clear" w:color="auto" w:fill="auto"/>
            <w:vAlign w:val="center"/>
          </w:tcPr>
          <w:p w:rsidR="00E444CB" w:rsidRPr="00922885" w:rsidP="00E444CB">
            <w:pPr>
              <w:widowControl w:val="0"/>
              <w:spacing w:line="256" w:lineRule="auto"/>
              <w:contextualSpacing/>
              <w:outlineLvl w:val="0"/>
              <w:rPr>
                <w:rFonts w:eastAsia="Calibri" w:cs="Times New Roman"/>
              </w:rPr>
            </w:pPr>
            <w:bookmarkStart w:id="16" w:name="_Hlk64544405"/>
            <w:r w:rsidRPr="00922885">
              <w:rPr>
                <w:rFonts w:eastAsia="Calibri" w:cs="Times New Roman"/>
              </w:rPr>
              <w:t>Number of meals provided to school age children through holiday hunger offer</w:t>
            </w:r>
          </w:p>
        </w:tc>
        <w:tc>
          <w:tcPr>
            <w:tcW w:w="1134" w:type="dxa"/>
            <w:tcBorders>
              <w:right w:val="single" w:sz="8" w:space="0" w:color="auto"/>
            </w:tcBorders>
            <w:shd w:val="clear" w:color="auto" w:fill="auto"/>
            <w:vAlign w:val="center"/>
          </w:tcPr>
          <w:p w:rsidR="00E444CB" w:rsidRPr="00922885" w:rsidP="00E444CB">
            <w:pPr>
              <w:widowControl w:val="0"/>
              <w:spacing w:line="256" w:lineRule="auto"/>
              <w:contextualSpacing/>
              <w:jc w:val="center"/>
              <w:outlineLvl w:val="0"/>
              <w:rPr>
                <w:rFonts w:eastAsia="Calibri" w:cs="Times New Roman"/>
              </w:rPr>
            </w:pPr>
            <w:r w:rsidRPr="00922885">
              <w:rPr>
                <w:rFonts w:eastAsia="Calibri" w:cs="Times New Roman"/>
              </w:rPr>
              <w:t>Smaller is better</w:t>
            </w:r>
          </w:p>
        </w:tc>
        <w:tc>
          <w:tcPr>
            <w:tcW w:w="1276" w:type="dxa"/>
            <w:tcBorders>
              <w:right w:val="single" w:sz="8" w:space="0" w:color="auto"/>
            </w:tcBorders>
            <w:shd w:val="clear" w:color="auto" w:fill="auto"/>
            <w:vAlign w:val="center"/>
          </w:tcPr>
          <w:p w:rsidR="00E444CB" w:rsidRPr="00922885" w:rsidP="00E444CB">
            <w:pPr>
              <w:widowControl w:val="0"/>
              <w:spacing w:line="256" w:lineRule="auto"/>
              <w:contextualSpacing/>
              <w:jc w:val="center"/>
              <w:outlineLvl w:val="0"/>
              <w:rPr>
                <w:rFonts w:eastAsia="Calibri" w:cs="Times New Roman"/>
              </w:rPr>
            </w:pPr>
            <w:r w:rsidRPr="00922885">
              <w:rPr>
                <w:rFonts w:eastAsia="Calibri" w:cs="Times New Roman"/>
              </w:rPr>
              <w:t>T</w:t>
            </w:r>
            <w:r>
              <w:rPr>
                <w:rFonts w:eastAsia="Calibri" w:cs="Times New Roman"/>
              </w:rPr>
              <w:t>arget to</w:t>
            </w:r>
            <w:r w:rsidRPr="00922885">
              <w:rPr>
                <w:rFonts w:eastAsia="Calibri" w:cs="Times New Roman"/>
              </w:rPr>
              <w:t xml:space="preserve"> be </w:t>
            </w:r>
            <w:r>
              <w:rPr>
                <w:rFonts w:eastAsia="Calibri" w:cs="Times New Roman"/>
              </w:rPr>
              <w:t>set</w:t>
            </w:r>
            <w:r w:rsidRPr="00922885">
              <w:rPr>
                <w:rFonts w:eastAsia="Calibri" w:cs="Times New Roman"/>
              </w:rPr>
              <w:t xml:space="preserve"> 2022</w:t>
            </w:r>
            <w:r>
              <w:rPr>
                <w:rFonts w:eastAsia="Calibri" w:cs="Times New Roman"/>
              </w:rPr>
              <w:t>/23</w:t>
            </w:r>
          </w:p>
        </w:tc>
        <w:tc>
          <w:tcPr>
            <w:tcW w:w="1559" w:type="dxa"/>
            <w:tcBorders>
              <w:right w:val="single" w:sz="8" w:space="0" w:color="auto"/>
            </w:tcBorders>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9,050</w:t>
            </w:r>
          </w:p>
          <w:p w:rsidR="00E444CB" w:rsidRPr="00922885" w:rsidP="00E444CB">
            <w:pPr>
              <w:widowControl w:val="0"/>
              <w:spacing w:line="256" w:lineRule="auto"/>
              <w:contextualSpacing/>
              <w:jc w:val="center"/>
              <w:outlineLvl w:val="0"/>
              <w:rPr>
                <w:rFonts w:eastAsia="Calibri" w:cs="Times New Roman"/>
              </w:rPr>
            </w:pPr>
            <w:r w:rsidRPr="00922885">
              <w:rPr>
                <w:rFonts w:eastAsia="Arial" w:cs="Times New Roman"/>
                <w:lang w:val="en-US"/>
              </w:rPr>
              <w:t>(Q</w:t>
            </w:r>
            <w:r>
              <w:rPr>
                <w:rFonts w:eastAsia="Arial" w:cs="Times New Roman"/>
                <w:lang w:val="en-US"/>
              </w:rPr>
              <w:t>2:20</w:t>
            </w:r>
            <w:r w:rsidRPr="00922885">
              <w:rPr>
                <w:rFonts w:eastAsia="Arial" w:cs="Times New Roman"/>
                <w:lang w:val="en-US"/>
              </w:rPr>
              <w:t>2</w:t>
            </w:r>
            <w:r>
              <w:rPr>
                <w:rFonts w:eastAsia="Arial" w:cs="Times New Roman"/>
                <w:lang w:val="en-US"/>
              </w:rPr>
              <w:t>1</w:t>
            </w:r>
            <w:r w:rsidRPr="00922885">
              <w:rPr>
                <w:rFonts w:eastAsia="Arial" w:cs="Times New Roman"/>
                <w:lang w:val="en-US"/>
              </w:rPr>
              <w:t>/2</w:t>
            </w:r>
            <w:r>
              <w:rPr>
                <w:rFonts w:eastAsia="Arial" w:cs="Times New Roman"/>
                <w:lang w:val="en-US"/>
              </w:rPr>
              <w:t>2</w:t>
            </w:r>
            <w:r w:rsidRPr="00922885">
              <w:rPr>
                <w:rFonts w:eastAsia="Arial" w:cs="Times New Roman"/>
                <w:lang w:val="en-US"/>
              </w:rPr>
              <w:t>)</w:t>
            </w:r>
          </w:p>
        </w:tc>
        <w:tc>
          <w:tcPr>
            <w:tcW w:w="1134" w:type="dxa"/>
            <w:tcBorders>
              <w:right w:val="single" w:sz="8" w:space="0" w:color="auto"/>
            </w:tcBorders>
            <w:shd w:val="clear" w:color="auto" w:fill="F2F2F2" w:themeFill="background1" w:themeFillShade="F2"/>
            <w:vAlign w:val="center"/>
          </w:tcPr>
          <w:p w:rsidR="00E444CB" w:rsidRPr="00922885" w:rsidP="00E444CB">
            <w:pPr>
              <w:widowControl w:val="0"/>
              <w:spacing w:line="256" w:lineRule="auto"/>
              <w:contextualSpacing/>
              <w:jc w:val="center"/>
              <w:outlineLvl w:val="0"/>
              <w:rPr>
                <w:rFonts w:eastAsia="Calibri" w:cs="Times New Roman"/>
                <w:b/>
                <w:bCs/>
              </w:rPr>
            </w:pPr>
            <w:r w:rsidRPr="00922885">
              <w:rPr>
                <w:rFonts w:eastAsia="Calibri" w:cs="Times New Roman"/>
                <w:b/>
                <w:bCs/>
              </w:rPr>
              <w:t>11</w:t>
            </w:r>
            <w:r>
              <w:rPr>
                <w:rFonts w:eastAsia="Calibri" w:cs="Times New Roman"/>
                <w:b/>
                <w:bCs/>
              </w:rPr>
              <w:t>,</w:t>
            </w:r>
            <w:r w:rsidRPr="00922885">
              <w:rPr>
                <w:rFonts w:eastAsia="Calibri" w:cs="Times New Roman"/>
                <w:b/>
                <w:bCs/>
              </w:rPr>
              <w:t>020</w:t>
            </w:r>
          </w:p>
        </w:tc>
        <w:tc>
          <w:tcPr>
            <w:tcW w:w="1134" w:type="dxa"/>
            <w:tcBorders>
              <w:right w:val="single" w:sz="8" w:space="0" w:color="auto"/>
            </w:tcBorders>
            <w:shd w:val="clear" w:color="auto" w:fill="auto"/>
            <w:vAlign w:val="center"/>
          </w:tcPr>
          <w:p w:rsidR="00E444CB" w:rsidRPr="00922885" w:rsidP="00E444CB">
            <w:pPr>
              <w:widowControl w:val="0"/>
              <w:spacing w:line="256" w:lineRule="auto"/>
              <w:contextualSpacing/>
              <w:jc w:val="center"/>
              <w:outlineLvl w:val="0"/>
              <w:rPr>
                <w:rFonts w:ascii="Wingdings" w:eastAsia="Arial" w:hAnsi="Wingdings" w:cs="Times New Roman"/>
                <w:color w:val="00B050"/>
                <w:sz w:val="44"/>
              </w:rPr>
            </w:pPr>
            <w:r>
              <w:rPr>
                <w:rFonts w:eastAsia="Arial" w:cs="Times New Roman"/>
                <w:lang w:val="en-US"/>
              </w:rPr>
              <w:t>-</w:t>
            </w:r>
          </w:p>
        </w:tc>
        <w:tc>
          <w:tcPr>
            <w:tcW w:w="1461" w:type="dxa"/>
            <w:tcBorders>
              <w:right w:val="single" w:sz="8" w:space="0" w:color="auto"/>
            </w:tcBorders>
            <w:shd w:val="clear" w:color="auto" w:fill="auto"/>
            <w:vAlign w:val="center"/>
          </w:tcPr>
          <w:p w:rsidR="00E444CB" w:rsidRPr="00922885" w:rsidP="00E444CB">
            <w:pPr>
              <w:widowControl w:val="0"/>
              <w:spacing w:line="256" w:lineRule="auto"/>
              <w:contextualSpacing/>
              <w:jc w:val="center"/>
              <w:outlineLvl w:val="0"/>
              <w:rPr>
                <w:rFonts w:eastAsia="Arial" w:cs="Times New Roman"/>
                <w:lang w:val="en-US"/>
              </w:rPr>
            </w:pPr>
            <w:r>
              <w:rPr>
                <w:rFonts w:eastAsia="Arial" w:cs="Times New Roman"/>
                <w:lang w:val="en-US"/>
              </w:rPr>
              <w:t>-</w:t>
            </w:r>
          </w:p>
        </w:tc>
      </w:tr>
      <w:tr w:rsidTr="00E444CB">
        <w:tblPrEx>
          <w:tblW w:w="11095" w:type="dxa"/>
          <w:tblLayout w:type="fixed"/>
          <w:tblLook w:val="04A0"/>
        </w:tblPrEx>
        <w:trPr>
          <w:trHeight w:val="810"/>
        </w:trPr>
        <w:tc>
          <w:tcPr>
            <w:tcW w:w="3397" w:type="dxa"/>
            <w:tcBorders>
              <w:right w:val="single" w:sz="8" w:space="0" w:color="auto"/>
            </w:tcBorders>
            <w:shd w:val="clear" w:color="auto" w:fill="auto"/>
            <w:vAlign w:val="center"/>
          </w:tcPr>
          <w:p w:rsidR="00E444CB" w:rsidRPr="00922885" w:rsidP="00E444CB">
            <w:pPr>
              <w:widowControl w:val="0"/>
              <w:spacing w:line="256" w:lineRule="auto"/>
              <w:contextualSpacing/>
              <w:outlineLvl w:val="0"/>
              <w:rPr>
                <w:rFonts w:eastAsia="Calibri" w:cs="Times New Roman"/>
              </w:rPr>
            </w:pPr>
            <w:r w:rsidRPr="00922885">
              <w:rPr>
                <w:rFonts w:eastAsia="Arial"/>
              </w:rPr>
              <w:t>Number of residents benefiting from opportunities created by the communities’ team</w:t>
            </w:r>
          </w:p>
        </w:tc>
        <w:tc>
          <w:tcPr>
            <w:tcW w:w="1134" w:type="dxa"/>
            <w:tcBorders>
              <w:right w:val="single" w:sz="8" w:space="0" w:color="auto"/>
            </w:tcBorders>
            <w:shd w:val="clear" w:color="auto" w:fill="auto"/>
            <w:vAlign w:val="center"/>
          </w:tcPr>
          <w:p w:rsidR="00E444CB" w:rsidRPr="00922885" w:rsidP="00E444CB">
            <w:pPr>
              <w:widowControl w:val="0"/>
              <w:spacing w:line="256" w:lineRule="auto"/>
              <w:contextualSpacing/>
              <w:jc w:val="center"/>
              <w:outlineLvl w:val="0"/>
              <w:rPr>
                <w:rFonts w:eastAsia="Calibri" w:cs="Times New Roman"/>
              </w:rPr>
            </w:pPr>
            <w:r w:rsidRPr="00922885">
              <w:rPr>
                <w:rFonts w:eastAsia="Calibri" w:cs="Times New Roman"/>
              </w:rPr>
              <w:t>Bigger is better</w:t>
            </w:r>
          </w:p>
        </w:tc>
        <w:tc>
          <w:tcPr>
            <w:tcW w:w="1276" w:type="dxa"/>
            <w:tcBorders>
              <w:right w:val="single" w:sz="8" w:space="0" w:color="auto"/>
            </w:tcBorders>
            <w:shd w:val="clear" w:color="auto" w:fill="auto"/>
            <w:vAlign w:val="center"/>
          </w:tcPr>
          <w:p w:rsidR="00E444CB" w:rsidRPr="00922885" w:rsidP="00E444CB">
            <w:pPr>
              <w:widowControl w:val="0"/>
              <w:spacing w:line="256" w:lineRule="auto"/>
              <w:contextualSpacing/>
              <w:jc w:val="center"/>
              <w:outlineLvl w:val="0"/>
              <w:rPr>
                <w:rFonts w:eastAsia="Calibri" w:cs="Times New Roman"/>
              </w:rPr>
            </w:pPr>
            <w:r w:rsidRPr="00922885">
              <w:rPr>
                <w:rFonts w:eastAsia="Calibri" w:cs="Times New Roman"/>
              </w:rPr>
              <w:t>T</w:t>
            </w:r>
            <w:r>
              <w:rPr>
                <w:rFonts w:eastAsia="Calibri" w:cs="Times New Roman"/>
              </w:rPr>
              <w:t>arget to</w:t>
            </w:r>
            <w:r w:rsidRPr="00922885">
              <w:rPr>
                <w:rFonts w:eastAsia="Calibri" w:cs="Times New Roman"/>
              </w:rPr>
              <w:t xml:space="preserve"> be </w:t>
            </w:r>
            <w:r>
              <w:rPr>
                <w:rFonts w:eastAsia="Calibri" w:cs="Times New Roman"/>
              </w:rPr>
              <w:t>set</w:t>
            </w:r>
            <w:r w:rsidRPr="00922885">
              <w:rPr>
                <w:rFonts w:eastAsia="Calibri" w:cs="Times New Roman"/>
              </w:rPr>
              <w:t xml:space="preserve"> 2022</w:t>
            </w:r>
            <w:r>
              <w:rPr>
                <w:rFonts w:eastAsia="Calibri" w:cs="Times New Roman"/>
              </w:rPr>
              <w:t>/23</w:t>
            </w:r>
          </w:p>
        </w:tc>
        <w:tc>
          <w:tcPr>
            <w:tcW w:w="1559" w:type="dxa"/>
            <w:tcBorders>
              <w:right w:val="single" w:sz="8" w:space="0" w:color="auto"/>
            </w:tcBorders>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3,884</w:t>
            </w:r>
          </w:p>
          <w:p w:rsidR="00E444CB" w:rsidRPr="00922885" w:rsidP="00E444CB">
            <w:pPr>
              <w:widowControl w:val="0"/>
              <w:spacing w:line="256" w:lineRule="auto"/>
              <w:contextualSpacing/>
              <w:jc w:val="center"/>
              <w:outlineLvl w:val="0"/>
              <w:rPr>
                <w:rFonts w:eastAsia="Calibri" w:cs="Times New Roman"/>
              </w:rPr>
            </w:pPr>
            <w:r>
              <w:rPr>
                <w:rFonts w:eastAsia="Calibri" w:cs="Times New Roman"/>
              </w:rPr>
              <w:t>(Q2:2021/22)</w:t>
            </w:r>
          </w:p>
        </w:tc>
        <w:tc>
          <w:tcPr>
            <w:tcW w:w="1134" w:type="dxa"/>
            <w:tcBorders>
              <w:right w:val="single" w:sz="8" w:space="0" w:color="auto"/>
            </w:tcBorders>
            <w:shd w:val="clear" w:color="auto" w:fill="F2F2F2" w:themeFill="background1" w:themeFillShade="F2"/>
            <w:vAlign w:val="center"/>
          </w:tcPr>
          <w:p w:rsidR="00E444CB" w:rsidRPr="00922885" w:rsidP="00E444CB">
            <w:pPr>
              <w:widowControl w:val="0"/>
              <w:spacing w:line="256" w:lineRule="auto"/>
              <w:contextualSpacing/>
              <w:jc w:val="center"/>
              <w:outlineLvl w:val="0"/>
              <w:rPr>
                <w:rFonts w:eastAsia="Calibri" w:cs="Times New Roman"/>
                <w:b/>
                <w:bCs/>
              </w:rPr>
            </w:pPr>
            <w:r>
              <w:rPr>
                <w:rFonts w:eastAsia="Calibri" w:cs="Times New Roman"/>
                <w:b/>
                <w:bCs/>
              </w:rPr>
              <w:t>1,200</w:t>
            </w:r>
          </w:p>
        </w:tc>
        <w:tc>
          <w:tcPr>
            <w:tcW w:w="1134" w:type="dxa"/>
            <w:tcBorders>
              <w:right w:val="single" w:sz="8" w:space="0" w:color="auto"/>
            </w:tcBorders>
            <w:shd w:val="clear" w:color="auto" w:fill="auto"/>
            <w:vAlign w:val="center"/>
          </w:tcPr>
          <w:p w:rsidR="00E444CB" w:rsidRPr="00922885" w:rsidP="00E444CB">
            <w:pPr>
              <w:widowControl w:val="0"/>
              <w:spacing w:line="256" w:lineRule="auto"/>
              <w:contextualSpacing/>
              <w:jc w:val="center"/>
              <w:outlineLvl w:val="0"/>
              <w:rPr>
                <w:rFonts w:ascii="Wingdings" w:eastAsia="Arial" w:hAnsi="Wingdings" w:cs="Times New Roman"/>
                <w:color w:val="00B050"/>
                <w:sz w:val="44"/>
              </w:rPr>
            </w:pPr>
            <w:r>
              <w:rPr>
                <w:rFonts w:eastAsia="Arial" w:cs="Times New Roman"/>
                <w:lang w:val="en-US"/>
              </w:rPr>
              <w:t>-</w:t>
            </w:r>
          </w:p>
        </w:tc>
        <w:tc>
          <w:tcPr>
            <w:tcW w:w="1461" w:type="dxa"/>
            <w:tcBorders>
              <w:right w:val="single" w:sz="8" w:space="0" w:color="auto"/>
            </w:tcBorders>
            <w:shd w:val="clear" w:color="auto" w:fill="auto"/>
            <w:vAlign w:val="center"/>
          </w:tcPr>
          <w:p w:rsidR="00E444CB" w:rsidRPr="00922885" w:rsidP="00E444CB">
            <w:pPr>
              <w:widowControl w:val="0"/>
              <w:spacing w:line="256" w:lineRule="auto"/>
              <w:contextualSpacing/>
              <w:jc w:val="center"/>
              <w:outlineLvl w:val="0"/>
              <w:rPr>
                <w:rFonts w:eastAsia="Calibri" w:cs="Times New Roman"/>
                <w:b/>
                <w:bCs/>
                <w:color w:val="FF0000"/>
                <w:sz w:val="20"/>
                <w:szCs w:val="20"/>
              </w:rPr>
            </w:pPr>
            <w:r>
              <w:rPr>
                <w:rFonts w:eastAsia="Arial" w:cs="Times New Roman"/>
                <w:lang w:val="en-US"/>
              </w:rPr>
              <w:t>-</w:t>
            </w:r>
          </w:p>
        </w:tc>
      </w:tr>
      <w:tr w:rsidTr="00E444CB">
        <w:tblPrEx>
          <w:tblW w:w="11095" w:type="dxa"/>
          <w:tblLayout w:type="fixed"/>
          <w:tblLook w:val="04A0"/>
        </w:tblPrEx>
        <w:trPr>
          <w:trHeight w:val="810"/>
        </w:trPr>
        <w:tc>
          <w:tcPr>
            <w:tcW w:w="11095" w:type="dxa"/>
            <w:gridSpan w:val="7"/>
            <w:tcBorders>
              <w:right w:val="single" w:sz="8" w:space="0" w:color="auto"/>
            </w:tcBorders>
            <w:shd w:val="clear" w:color="auto" w:fill="auto"/>
            <w:vAlign w:val="center"/>
          </w:tcPr>
          <w:p w:rsidR="00E444CB" w:rsidRPr="00922885" w:rsidP="00E444CB">
            <w:pPr>
              <w:widowControl w:val="0"/>
              <w:spacing w:line="256" w:lineRule="auto"/>
              <w:contextualSpacing/>
              <w:outlineLvl w:val="0"/>
              <w:rPr>
                <w:rFonts w:eastAsia="Calibri" w:cs="Times New Roman"/>
                <w:b/>
                <w:bCs/>
                <w:color w:val="7030A0"/>
                <w:sz w:val="24"/>
              </w:rPr>
            </w:pPr>
            <w:r w:rsidRPr="00922885">
              <w:rPr>
                <w:rFonts w:eastAsia="Calibri" w:cs="Times New Roman"/>
                <w:b/>
                <w:bCs/>
                <w:color w:val="7030A0"/>
                <w:sz w:val="24"/>
              </w:rPr>
              <w:t>A fair local economy that works for everyone</w:t>
            </w:r>
          </w:p>
        </w:tc>
      </w:tr>
      <w:tr w:rsidTr="00E444CB">
        <w:tblPrEx>
          <w:tblW w:w="11095" w:type="dxa"/>
          <w:tblLayout w:type="fixed"/>
          <w:tblLook w:val="04A0"/>
        </w:tblPrEx>
        <w:trPr>
          <w:trHeight w:val="810"/>
        </w:trPr>
        <w:tc>
          <w:tcPr>
            <w:tcW w:w="3397" w:type="dxa"/>
            <w:tcBorders>
              <w:right w:val="single" w:sz="8" w:space="0" w:color="auto"/>
            </w:tcBorders>
            <w:shd w:val="clear" w:color="auto" w:fill="auto"/>
            <w:vAlign w:val="center"/>
          </w:tcPr>
          <w:p w:rsidR="00E444CB" w:rsidRPr="00922885" w:rsidP="00E444CB">
            <w:pPr>
              <w:widowControl w:val="0"/>
              <w:spacing w:line="256" w:lineRule="auto"/>
              <w:contextualSpacing/>
              <w:outlineLvl w:val="0"/>
              <w:rPr>
                <w:rFonts w:eastAsia="Calibri" w:cs="Times New Roman"/>
              </w:rPr>
            </w:pPr>
            <w:r w:rsidRPr="00922885">
              <w:rPr>
                <w:rFonts w:eastAsia="Calibri" w:cs="Times New Roman"/>
              </w:rPr>
              <w:t>Overall employment rate greater than north west average</w:t>
            </w:r>
          </w:p>
        </w:tc>
        <w:tc>
          <w:tcPr>
            <w:tcW w:w="1134" w:type="dxa"/>
            <w:tcBorders>
              <w:right w:val="single" w:sz="8" w:space="0" w:color="auto"/>
            </w:tcBorders>
            <w:shd w:val="clear" w:color="auto" w:fill="auto"/>
            <w:vAlign w:val="center"/>
          </w:tcPr>
          <w:p w:rsidR="00E444CB" w:rsidRPr="00922885" w:rsidP="00E444CB">
            <w:pPr>
              <w:widowControl w:val="0"/>
              <w:spacing w:line="256" w:lineRule="auto"/>
              <w:contextualSpacing/>
              <w:outlineLvl w:val="0"/>
              <w:rPr>
                <w:rFonts w:eastAsia="Calibri" w:cs="Times New Roman"/>
              </w:rPr>
            </w:pPr>
            <w:r w:rsidRPr="00922885">
              <w:rPr>
                <w:rFonts w:eastAsia="Calibri" w:cs="Times New Roman"/>
              </w:rPr>
              <w:t>Bigger is better</w:t>
            </w:r>
          </w:p>
        </w:tc>
        <w:tc>
          <w:tcPr>
            <w:tcW w:w="1276" w:type="dxa"/>
            <w:tcBorders>
              <w:right w:val="single" w:sz="8" w:space="0" w:color="auto"/>
            </w:tcBorders>
            <w:shd w:val="clear" w:color="auto" w:fill="auto"/>
            <w:vAlign w:val="center"/>
          </w:tcPr>
          <w:p w:rsidR="00E444CB" w:rsidRPr="00922885" w:rsidP="00E444CB">
            <w:pPr>
              <w:widowControl w:val="0"/>
              <w:spacing w:line="256" w:lineRule="auto"/>
              <w:contextualSpacing/>
              <w:jc w:val="center"/>
              <w:outlineLvl w:val="0"/>
              <w:rPr>
                <w:rFonts w:eastAsia="Calibri" w:cs="Times New Roman"/>
              </w:rPr>
            </w:pPr>
            <w:r>
              <w:rPr>
                <w:rFonts w:eastAsia="Calibri" w:cs="Times New Roman"/>
              </w:rPr>
              <w:t>80</w:t>
            </w:r>
            <w:r w:rsidRPr="00922885">
              <w:rPr>
                <w:rFonts w:eastAsia="Calibri" w:cs="Times New Roman"/>
              </w:rPr>
              <w:t>%</w:t>
            </w:r>
          </w:p>
        </w:tc>
        <w:tc>
          <w:tcPr>
            <w:tcW w:w="1559" w:type="dxa"/>
            <w:tcBorders>
              <w:right w:val="single" w:sz="8" w:space="0" w:color="auto"/>
            </w:tcBorders>
            <w:shd w:val="clear" w:color="auto" w:fill="auto"/>
            <w:vAlign w:val="center"/>
          </w:tcPr>
          <w:p w:rsidR="00E444CB" w:rsidP="00E444CB">
            <w:pPr>
              <w:widowControl w:val="0"/>
              <w:spacing w:line="256" w:lineRule="auto"/>
              <w:contextualSpacing/>
              <w:jc w:val="center"/>
              <w:outlineLvl w:val="0"/>
              <w:rPr>
                <w:rFonts w:eastAsia="Calibri" w:cs="Times New Roman"/>
              </w:rPr>
            </w:pPr>
            <w:r w:rsidRPr="00922885">
              <w:rPr>
                <w:rFonts w:eastAsia="Calibri" w:cs="Times New Roman"/>
              </w:rPr>
              <w:t>80.8%</w:t>
            </w:r>
          </w:p>
          <w:p w:rsidR="00E444CB" w:rsidRPr="00922885" w:rsidP="00E444CB">
            <w:pPr>
              <w:widowControl w:val="0"/>
              <w:spacing w:line="256" w:lineRule="auto"/>
              <w:contextualSpacing/>
              <w:jc w:val="center"/>
              <w:outlineLvl w:val="0"/>
              <w:rPr>
                <w:rFonts w:eastAsia="Calibri" w:cs="Times New Roman"/>
              </w:rPr>
            </w:pPr>
            <w:r>
              <w:rPr>
                <w:rFonts w:eastAsia="Calibri" w:cs="Times New Roman"/>
              </w:rPr>
              <w:t>(Q2:2021/22)</w:t>
            </w:r>
          </w:p>
        </w:tc>
        <w:tc>
          <w:tcPr>
            <w:tcW w:w="1134" w:type="dxa"/>
            <w:tcBorders>
              <w:right w:val="single" w:sz="8" w:space="0" w:color="auto"/>
            </w:tcBorders>
            <w:shd w:val="clear" w:color="auto" w:fill="F2F2F2" w:themeFill="background1" w:themeFillShade="F2"/>
            <w:vAlign w:val="center"/>
          </w:tcPr>
          <w:p w:rsidR="00E444CB" w:rsidRPr="008F4379" w:rsidP="00E444CB">
            <w:pPr>
              <w:widowControl w:val="0"/>
              <w:spacing w:line="256" w:lineRule="auto"/>
              <w:contextualSpacing/>
              <w:jc w:val="center"/>
              <w:outlineLvl w:val="0"/>
              <w:rPr>
                <w:rFonts w:eastAsia="Calibri" w:cs="Times New Roman"/>
                <w:b/>
                <w:bCs/>
              </w:rPr>
            </w:pPr>
            <w:r w:rsidRPr="008F4379">
              <w:rPr>
                <w:rFonts w:eastAsia="Calibri" w:cs="Times New Roman"/>
                <w:b/>
                <w:bCs/>
              </w:rPr>
              <w:t>79.1%</w:t>
            </w:r>
          </w:p>
        </w:tc>
        <w:tc>
          <w:tcPr>
            <w:tcW w:w="1134" w:type="dxa"/>
            <w:tcBorders>
              <w:right w:val="single" w:sz="8" w:space="0" w:color="auto"/>
            </w:tcBorders>
            <w:shd w:val="clear" w:color="auto" w:fill="auto"/>
            <w:vAlign w:val="center"/>
          </w:tcPr>
          <w:p w:rsidR="00E444CB" w:rsidRPr="008F4379" w:rsidP="00E444CB">
            <w:pPr>
              <w:widowControl w:val="0"/>
              <w:spacing w:line="256" w:lineRule="auto"/>
              <w:contextualSpacing/>
              <w:jc w:val="center"/>
              <w:outlineLvl w:val="0"/>
              <w:rPr>
                <w:rFonts w:eastAsia="Calibri" w:cs="Times New Roman"/>
              </w:rPr>
            </w:pPr>
            <w:r w:rsidRPr="008F4379">
              <w:rPr>
                <w:rFonts w:ascii="Wingdings" w:eastAsia="Arial" w:hAnsi="Wingdings" w:cs="Times New Roman"/>
                <w:color w:val="5B9BD5"/>
                <w:sz w:val="44"/>
              </w:rPr>
              <w:sym w:font="Wingdings" w:char="F06C"/>
            </w:r>
          </w:p>
        </w:tc>
        <w:tc>
          <w:tcPr>
            <w:tcW w:w="1461" w:type="dxa"/>
            <w:tcBorders>
              <w:right w:val="single" w:sz="8" w:space="0" w:color="auto"/>
            </w:tcBorders>
            <w:shd w:val="clear" w:color="auto" w:fill="auto"/>
            <w:vAlign w:val="center"/>
          </w:tcPr>
          <w:p w:rsidR="00E444CB" w:rsidRPr="008F4379" w:rsidP="00E444CB">
            <w:pPr>
              <w:widowControl w:val="0"/>
              <w:spacing w:line="256" w:lineRule="auto"/>
              <w:contextualSpacing/>
              <w:jc w:val="center"/>
              <w:outlineLvl w:val="0"/>
              <w:rPr>
                <w:rFonts w:eastAsia="Calibri" w:cs="Times New Roman"/>
                <w:b/>
                <w:bCs/>
                <w:color w:val="FF0000"/>
                <w:sz w:val="20"/>
                <w:szCs w:val="20"/>
              </w:rPr>
            </w:pPr>
            <w:r w:rsidRPr="00AC39D2">
              <w:rPr>
                <w:rFonts w:eastAsia="Calibri" w:cs="Times New Roman"/>
                <w:color w:val="FF0000"/>
              </w:rPr>
              <w:t>Worse than Q3:2020/21</w:t>
            </w:r>
          </w:p>
        </w:tc>
      </w:tr>
      <w:tr w:rsidTr="00E444CB">
        <w:tblPrEx>
          <w:tblW w:w="11095" w:type="dxa"/>
          <w:tblLayout w:type="fixed"/>
          <w:tblLook w:val="04A0"/>
        </w:tblPrEx>
        <w:trPr>
          <w:trHeight w:val="810"/>
        </w:trPr>
        <w:tc>
          <w:tcPr>
            <w:tcW w:w="3397" w:type="dxa"/>
            <w:tcBorders>
              <w:right w:val="single" w:sz="8" w:space="0" w:color="auto"/>
            </w:tcBorders>
            <w:shd w:val="clear" w:color="auto" w:fill="auto"/>
            <w:vAlign w:val="center"/>
          </w:tcPr>
          <w:p w:rsidR="00E444CB" w:rsidRPr="00922885" w:rsidP="00E444CB">
            <w:pPr>
              <w:widowControl w:val="0"/>
              <w:spacing w:line="256" w:lineRule="auto"/>
              <w:contextualSpacing/>
              <w:outlineLvl w:val="0"/>
              <w:rPr>
                <w:rFonts w:eastAsia="Calibri" w:cs="Times New Roman"/>
              </w:rPr>
            </w:pPr>
            <w:r w:rsidRPr="00922885">
              <w:rPr>
                <w:rFonts w:eastAsia="Calibri"/>
              </w:rPr>
              <w:t>% 16 -17year olds not in education or training (NEET)</w:t>
            </w:r>
          </w:p>
        </w:tc>
        <w:tc>
          <w:tcPr>
            <w:tcW w:w="1134" w:type="dxa"/>
            <w:tcBorders>
              <w:right w:val="single" w:sz="8" w:space="0" w:color="auto"/>
            </w:tcBorders>
            <w:shd w:val="clear" w:color="auto" w:fill="auto"/>
            <w:vAlign w:val="center"/>
          </w:tcPr>
          <w:p w:rsidR="00E444CB" w:rsidRPr="00922885" w:rsidP="00E444CB">
            <w:pPr>
              <w:widowControl w:val="0"/>
              <w:spacing w:line="256" w:lineRule="auto"/>
              <w:contextualSpacing/>
              <w:outlineLvl w:val="0"/>
              <w:rPr>
                <w:rFonts w:eastAsia="Calibri" w:cs="Times New Roman"/>
              </w:rPr>
            </w:pPr>
            <w:r w:rsidRPr="00922885">
              <w:rPr>
                <w:rFonts w:eastAsia="Calibri" w:cs="Times New Roman"/>
              </w:rPr>
              <w:t>Smaller is better</w:t>
            </w:r>
          </w:p>
        </w:tc>
        <w:tc>
          <w:tcPr>
            <w:tcW w:w="1276" w:type="dxa"/>
            <w:tcBorders>
              <w:right w:val="single" w:sz="8" w:space="0" w:color="auto"/>
            </w:tcBorders>
            <w:shd w:val="clear" w:color="auto" w:fill="auto"/>
            <w:vAlign w:val="center"/>
          </w:tcPr>
          <w:p w:rsidR="00E444CB" w:rsidRPr="00922885" w:rsidP="00E444CB">
            <w:pPr>
              <w:widowControl w:val="0"/>
              <w:spacing w:line="256" w:lineRule="auto"/>
              <w:contextualSpacing/>
              <w:jc w:val="center"/>
              <w:outlineLvl w:val="0"/>
              <w:rPr>
                <w:rFonts w:eastAsia="Calibri" w:cs="Times New Roman"/>
              </w:rPr>
            </w:pPr>
            <w:r w:rsidRPr="00922885">
              <w:rPr>
                <w:rFonts w:eastAsia="Calibri" w:cs="Times New Roman"/>
              </w:rPr>
              <w:t>3.5%</w:t>
            </w:r>
          </w:p>
        </w:tc>
        <w:tc>
          <w:tcPr>
            <w:tcW w:w="1559" w:type="dxa"/>
            <w:tcBorders>
              <w:right w:val="single" w:sz="8" w:space="0" w:color="auto"/>
            </w:tcBorders>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0.70</w:t>
            </w:r>
          </w:p>
          <w:p w:rsidR="00E444CB" w:rsidRPr="00922885" w:rsidP="00E444CB">
            <w:pPr>
              <w:widowControl w:val="0"/>
              <w:spacing w:line="256" w:lineRule="auto"/>
              <w:contextualSpacing/>
              <w:jc w:val="center"/>
              <w:outlineLvl w:val="0"/>
              <w:rPr>
                <w:rFonts w:eastAsia="Calibri" w:cs="Times New Roman"/>
              </w:rPr>
            </w:pPr>
            <w:r>
              <w:rPr>
                <w:rFonts w:eastAsia="Calibri" w:cs="Times New Roman"/>
              </w:rPr>
              <w:t>(Q2:2021/22)</w:t>
            </w:r>
          </w:p>
        </w:tc>
        <w:tc>
          <w:tcPr>
            <w:tcW w:w="1134" w:type="dxa"/>
            <w:tcBorders>
              <w:right w:val="single" w:sz="8" w:space="0" w:color="auto"/>
            </w:tcBorders>
            <w:shd w:val="clear" w:color="auto" w:fill="F2F2F2" w:themeFill="background1" w:themeFillShade="F2"/>
            <w:vAlign w:val="center"/>
          </w:tcPr>
          <w:p w:rsidR="00E444CB" w:rsidRPr="00922885" w:rsidP="00E444CB">
            <w:pPr>
              <w:widowControl w:val="0"/>
              <w:spacing w:line="256" w:lineRule="auto"/>
              <w:contextualSpacing/>
              <w:jc w:val="center"/>
              <w:outlineLvl w:val="0"/>
              <w:rPr>
                <w:rFonts w:eastAsia="Calibri" w:cs="Times New Roman"/>
                <w:b/>
                <w:bCs/>
              </w:rPr>
            </w:pPr>
            <w:r>
              <w:rPr>
                <w:rFonts w:eastAsia="Calibri" w:cs="Times New Roman"/>
                <w:b/>
                <w:bCs/>
              </w:rPr>
              <w:t>2.60</w:t>
            </w:r>
          </w:p>
        </w:tc>
        <w:tc>
          <w:tcPr>
            <w:tcW w:w="1134" w:type="dxa"/>
            <w:tcBorders>
              <w:right w:val="single" w:sz="8" w:space="0" w:color="auto"/>
            </w:tcBorders>
            <w:shd w:val="clear" w:color="auto" w:fill="auto"/>
            <w:vAlign w:val="center"/>
          </w:tcPr>
          <w:p w:rsidR="00E444CB" w:rsidRPr="00922885" w:rsidP="00E444CB">
            <w:pPr>
              <w:widowControl w:val="0"/>
              <w:spacing w:line="256" w:lineRule="auto"/>
              <w:contextualSpacing/>
              <w:jc w:val="center"/>
              <w:outlineLvl w:val="0"/>
              <w:rPr>
                <w:rFonts w:ascii="Wingdings" w:eastAsia="Arial" w:hAnsi="Wingdings" w:cs="Times New Roman"/>
                <w:color w:val="00B050"/>
                <w:sz w:val="44"/>
              </w:rPr>
            </w:pPr>
            <w:r w:rsidRPr="00E162BA">
              <w:rPr>
                <w:rFonts w:ascii="Wingdings" w:eastAsia="Arial" w:hAnsi="Wingdings" w:cs="Times New Roman"/>
                <w:color w:val="00B050"/>
                <w:sz w:val="44"/>
              </w:rPr>
              <w:sym w:font="Wingdings" w:char="F0AB"/>
            </w:r>
          </w:p>
        </w:tc>
        <w:tc>
          <w:tcPr>
            <w:tcW w:w="1461" w:type="dxa"/>
            <w:tcBorders>
              <w:right w:val="single" w:sz="8" w:space="0" w:color="auto"/>
            </w:tcBorders>
            <w:shd w:val="clear" w:color="auto" w:fill="auto"/>
            <w:vAlign w:val="center"/>
          </w:tcPr>
          <w:p w:rsidR="00E444CB" w:rsidRPr="00922885" w:rsidP="00E444CB">
            <w:pPr>
              <w:widowControl w:val="0"/>
              <w:spacing w:line="256" w:lineRule="auto"/>
              <w:contextualSpacing/>
              <w:jc w:val="center"/>
              <w:outlineLvl w:val="0"/>
              <w:rPr>
                <w:rFonts w:eastAsia="Calibri" w:cs="Times New Roman"/>
                <w:b/>
                <w:bCs/>
                <w:color w:val="FF0000"/>
                <w:sz w:val="20"/>
                <w:szCs w:val="20"/>
              </w:rPr>
            </w:pPr>
            <w:r w:rsidRPr="00AC39D2">
              <w:rPr>
                <w:rFonts w:eastAsia="Calibri" w:cs="Times New Roman"/>
                <w:color w:val="00B050"/>
              </w:rPr>
              <w:t>Better than Q3:2020/21</w:t>
            </w:r>
          </w:p>
        </w:tc>
      </w:tr>
      <w:tr w:rsidTr="00E444CB">
        <w:tblPrEx>
          <w:tblW w:w="11095" w:type="dxa"/>
          <w:tblLayout w:type="fixed"/>
          <w:tblLook w:val="04A0"/>
        </w:tblPrEx>
        <w:trPr>
          <w:trHeight w:val="810"/>
        </w:trPr>
        <w:tc>
          <w:tcPr>
            <w:tcW w:w="11095" w:type="dxa"/>
            <w:gridSpan w:val="7"/>
            <w:tcBorders>
              <w:right w:val="single" w:sz="8" w:space="0" w:color="auto"/>
            </w:tcBorders>
            <w:shd w:val="clear" w:color="auto" w:fill="auto"/>
            <w:vAlign w:val="center"/>
          </w:tcPr>
          <w:p w:rsidR="00E444CB" w:rsidRPr="00E162BA" w:rsidP="00E444CB">
            <w:pPr>
              <w:widowControl w:val="0"/>
              <w:spacing w:line="256" w:lineRule="auto"/>
              <w:contextualSpacing/>
              <w:outlineLvl w:val="0"/>
              <w:rPr>
                <w:rFonts w:eastAsia="Calibri" w:cs="Times New Roman"/>
                <w:b/>
                <w:bCs/>
                <w:color w:val="00B050"/>
              </w:rPr>
            </w:pPr>
            <w:r w:rsidRPr="00E162BA">
              <w:rPr>
                <w:rFonts w:eastAsia="Calibri" w:cs="Times New Roman"/>
                <w:b/>
                <w:bCs/>
                <w:color w:val="00B050"/>
                <w:sz w:val="24"/>
              </w:rPr>
              <w:t>Good homes green spaces healthy places</w:t>
            </w:r>
          </w:p>
        </w:tc>
      </w:tr>
      <w:tr w:rsidTr="00E444CB">
        <w:tblPrEx>
          <w:tblW w:w="11095" w:type="dxa"/>
          <w:tblLayout w:type="fixed"/>
          <w:tblLook w:val="04A0"/>
        </w:tblPrEx>
        <w:trPr>
          <w:trHeight w:val="810"/>
        </w:trPr>
        <w:tc>
          <w:tcPr>
            <w:tcW w:w="3397" w:type="dxa"/>
            <w:shd w:val="clear" w:color="auto" w:fill="auto"/>
            <w:vAlign w:val="center"/>
          </w:tcPr>
          <w:p w:rsidR="00E444CB" w:rsidRPr="00E162BA" w:rsidP="00E444CB">
            <w:pPr>
              <w:widowControl w:val="0"/>
              <w:spacing w:line="256" w:lineRule="auto"/>
              <w:contextualSpacing/>
              <w:outlineLvl w:val="0"/>
              <w:rPr>
                <w:rFonts w:eastAsia="Calibri" w:cs="Times New Roman"/>
              </w:rPr>
            </w:pPr>
            <w:r w:rsidRPr="00E162BA">
              <w:rPr>
                <w:rFonts w:eastAsia="Calibri" w:cs="Times New Roman"/>
              </w:rPr>
              <w:t xml:space="preserve">Total number of young people’s physical activity courses delivered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444CB" w:rsidRPr="00E162BA" w:rsidP="00E444CB">
            <w:pPr>
              <w:widowControl w:val="0"/>
              <w:spacing w:line="256" w:lineRule="auto"/>
              <w:contextualSpacing/>
              <w:jc w:val="center"/>
              <w:outlineLvl w:val="0"/>
              <w:rPr>
                <w:rFonts w:eastAsia="Calibri" w:cs="Times New Roman"/>
              </w:rPr>
            </w:pPr>
            <w:r w:rsidRPr="00E162BA">
              <w:rPr>
                <w:rFonts w:eastAsia="Calibri" w:cs="Times New Roman"/>
              </w:rPr>
              <w:t>Bigger is better</w:t>
            </w:r>
          </w:p>
        </w:tc>
        <w:tc>
          <w:tcPr>
            <w:tcW w:w="1276" w:type="dxa"/>
            <w:shd w:val="clear" w:color="auto" w:fill="auto"/>
            <w:vAlign w:val="center"/>
          </w:tcPr>
          <w:p w:rsidR="00E444CB" w:rsidRPr="00E162BA" w:rsidP="00E444CB">
            <w:pPr>
              <w:widowControl w:val="0"/>
              <w:spacing w:line="256" w:lineRule="auto"/>
              <w:contextualSpacing/>
              <w:jc w:val="center"/>
              <w:outlineLvl w:val="0"/>
              <w:rPr>
                <w:rFonts w:eastAsia="Calibri" w:cs="Times New Roman"/>
              </w:rPr>
            </w:pPr>
            <w:r w:rsidRPr="00E162BA">
              <w:rPr>
                <w:rFonts w:eastAsia="Calibri" w:cs="Times New Roman"/>
              </w:rPr>
              <w:t>Target to improve trend</w:t>
            </w:r>
          </w:p>
        </w:tc>
        <w:tc>
          <w:tcPr>
            <w:tcW w:w="1559" w:type="dxa"/>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212</w:t>
            </w:r>
          </w:p>
          <w:p w:rsidR="00E444CB" w:rsidRPr="00E162BA" w:rsidP="00E444CB">
            <w:pPr>
              <w:widowControl w:val="0"/>
              <w:spacing w:line="256" w:lineRule="auto"/>
              <w:contextualSpacing/>
              <w:jc w:val="center"/>
              <w:outlineLvl w:val="0"/>
              <w:rPr>
                <w:rFonts w:eastAsia="Calibri" w:cs="Times New Roman"/>
              </w:rPr>
            </w:pPr>
            <w:r>
              <w:rPr>
                <w:rFonts w:eastAsia="Calibri" w:cs="Times New Roman"/>
              </w:rPr>
              <w:t>(Q2:2021/22)</w:t>
            </w:r>
          </w:p>
        </w:tc>
        <w:tc>
          <w:tcPr>
            <w:tcW w:w="1134" w:type="dxa"/>
            <w:shd w:val="clear" w:color="auto" w:fill="F2F2F2" w:themeFill="background1" w:themeFillShade="F2"/>
            <w:vAlign w:val="center"/>
          </w:tcPr>
          <w:p w:rsidR="00E444CB" w:rsidRPr="00E162BA" w:rsidP="00E444CB">
            <w:pPr>
              <w:widowControl w:val="0"/>
              <w:spacing w:line="256" w:lineRule="auto"/>
              <w:contextualSpacing/>
              <w:jc w:val="center"/>
              <w:outlineLvl w:val="0"/>
              <w:rPr>
                <w:rFonts w:eastAsia="Calibri" w:cs="Times New Roman"/>
                <w:b/>
                <w:bCs/>
              </w:rPr>
            </w:pPr>
            <w:r w:rsidRPr="00E162BA">
              <w:rPr>
                <w:rFonts w:eastAsia="Calibri" w:cs="Times New Roman"/>
                <w:b/>
                <w:bCs/>
              </w:rPr>
              <w:t>455</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444CB" w:rsidRPr="00E162BA" w:rsidP="00E444CB">
            <w:pPr>
              <w:widowControl w:val="0"/>
              <w:spacing w:line="256" w:lineRule="auto"/>
              <w:contextualSpacing/>
              <w:jc w:val="center"/>
              <w:outlineLvl w:val="0"/>
              <w:rPr>
                <w:rFonts w:ascii="Wingdings 3" w:eastAsia="Arial" w:hAnsi="Wingdings 3" w:cs="Times New Roman"/>
                <w:color w:val="FF0000"/>
                <w:sz w:val="32"/>
              </w:rPr>
            </w:pPr>
            <w:r w:rsidRPr="00E162BA">
              <w:rPr>
                <w:rFonts w:ascii="Wingdings" w:eastAsia="Arial" w:hAnsi="Wingdings" w:cs="Times New Roman"/>
                <w:color w:val="00B050"/>
                <w:sz w:val="44"/>
              </w:rPr>
              <w:sym w:font="Wingdings" w:char="F0AB"/>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E444CB" w:rsidRPr="00E162BA" w:rsidP="00E444CB">
            <w:pPr>
              <w:widowControl w:val="0"/>
              <w:spacing w:line="256" w:lineRule="auto"/>
              <w:contextualSpacing/>
              <w:jc w:val="center"/>
              <w:outlineLvl w:val="0"/>
              <w:rPr>
                <w:rFonts w:eastAsia="Calibri" w:cs="Times New Roman"/>
                <w:b/>
                <w:bCs/>
                <w:color w:val="00B050"/>
                <w:sz w:val="20"/>
                <w:szCs w:val="20"/>
              </w:rPr>
            </w:pPr>
            <w:r w:rsidRPr="00AC39D2">
              <w:rPr>
                <w:rFonts w:eastAsia="Calibri" w:cs="Times New Roman"/>
                <w:color w:val="00B050"/>
              </w:rPr>
              <w:t>Better than Q3:2020/21</w:t>
            </w:r>
          </w:p>
        </w:tc>
      </w:tr>
      <w:tr w:rsidTr="00E444CB">
        <w:tblPrEx>
          <w:tblW w:w="11095" w:type="dxa"/>
          <w:tblLayout w:type="fixed"/>
          <w:tblLook w:val="04A0"/>
        </w:tblPrEx>
        <w:trPr>
          <w:trHeight w:val="810"/>
        </w:trPr>
        <w:tc>
          <w:tcPr>
            <w:tcW w:w="3397" w:type="dxa"/>
            <w:shd w:val="clear" w:color="auto" w:fill="auto"/>
            <w:vAlign w:val="center"/>
          </w:tcPr>
          <w:p w:rsidR="00E444CB" w:rsidRPr="00E162BA" w:rsidP="00E444CB">
            <w:pPr>
              <w:widowControl w:val="0"/>
              <w:spacing w:line="256" w:lineRule="auto"/>
              <w:contextualSpacing/>
              <w:outlineLvl w:val="0"/>
              <w:rPr>
                <w:rFonts w:eastAsia="Calibri" w:cs="Times New Roman"/>
              </w:rPr>
            </w:pPr>
            <w:bookmarkStart w:id="17" w:name="_Hlk78797100"/>
            <w:r w:rsidRPr="00E162BA">
              <w:rPr>
                <w:rFonts w:eastAsia="Calibri" w:cs="Times New Roman"/>
              </w:rPr>
              <w:t xml:space="preserve">27,500 Trees will be planted in the borough this year </w:t>
            </w:r>
            <w:bookmarkEnd w:id="17"/>
            <w:r w:rsidRPr="00E162BA">
              <w:rPr>
                <w:rFonts w:eastAsia="Calibri" w:cs="Times New Roman"/>
              </w:rPr>
              <w:t>(Cumulative)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444CB" w:rsidRPr="00E162BA" w:rsidP="00E444CB">
            <w:pPr>
              <w:widowControl w:val="0"/>
              <w:spacing w:line="256" w:lineRule="auto"/>
              <w:contextualSpacing/>
              <w:jc w:val="center"/>
              <w:outlineLvl w:val="0"/>
              <w:rPr>
                <w:rFonts w:eastAsia="Calibri" w:cs="Times New Roman"/>
              </w:rPr>
            </w:pPr>
            <w:r w:rsidRPr="00E162BA">
              <w:rPr>
                <w:rFonts w:eastAsia="Calibri" w:cs="Times New Roman"/>
              </w:rPr>
              <w:t>Bigger is better</w:t>
            </w:r>
          </w:p>
        </w:tc>
        <w:tc>
          <w:tcPr>
            <w:tcW w:w="1276" w:type="dxa"/>
            <w:shd w:val="clear" w:color="auto" w:fill="auto"/>
            <w:vAlign w:val="center"/>
          </w:tcPr>
          <w:p w:rsidR="00E444CB" w:rsidRPr="00E162BA" w:rsidP="00E444CB">
            <w:pPr>
              <w:widowControl w:val="0"/>
              <w:spacing w:line="256" w:lineRule="auto"/>
              <w:contextualSpacing/>
              <w:jc w:val="center"/>
              <w:outlineLvl w:val="0"/>
              <w:rPr>
                <w:rFonts w:eastAsia="Calibri" w:cs="Times New Roman"/>
              </w:rPr>
            </w:pPr>
            <w:r w:rsidRPr="00E162BA">
              <w:rPr>
                <w:rFonts w:eastAsia="Calibri" w:cs="Times New Roman"/>
              </w:rPr>
              <w:t>27,500</w:t>
            </w:r>
          </w:p>
          <w:p w:rsidR="00E444CB" w:rsidRPr="00E162BA" w:rsidP="00E444CB">
            <w:pPr>
              <w:widowControl w:val="0"/>
              <w:spacing w:line="256" w:lineRule="auto"/>
              <w:contextualSpacing/>
              <w:jc w:val="center"/>
              <w:outlineLvl w:val="0"/>
              <w:rPr>
                <w:rFonts w:eastAsia="Calibri" w:cs="Times New Roman"/>
              </w:rPr>
            </w:pPr>
            <w:r w:rsidRPr="00E162BA">
              <w:rPr>
                <w:rFonts w:eastAsia="Calibri" w:cs="Times New Roman"/>
              </w:rPr>
              <w:t>(Annual)</w:t>
            </w:r>
          </w:p>
        </w:tc>
        <w:tc>
          <w:tcPr>
            <w:tcW w:w="1559" w:type="dxa"/>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0</w:t>
            </w:r>
          </w:p>
          <w:p w:rsidR="00E444CB" w:rsidRPr="00E162BA" w:rsidP="00E444CB">
            <w:pPr>
              <w:widowControl w:val="0"/>
              <w:spacing w:line="256" w:lineRule="auto"/>
              <w:contextualSpacing/>
              <w:jc w:val="center"/>
              <w:outlineLvl w:val="0"/>
              <w:rPr>
                <w:rFonts w:eastAsia="Calibri" w:cs="Times New Roman"/>
              </w:rPr>
            </w:pPr>
            <w:r>
              <w:rPr>
                <w:rFonts w:eastAsia="Calibri" w:cs="Times New Roman"/>
              </w:rPr>
              <w:t>(Q2:2021/22)</w:t>
            </w:r>
          </w:p>
        </w:tc>
        <w:tc>
          <w:tcPr>
            <w:tcW w:w="1134" w:type="dxa"/>
            <w:shd w:val="clear" w:color="auto" w:fill="F2F2F2" w:themeFill="background1" w:themeFillShade="F2"/>
            <w:vAlign w:val="center"/>
          </w:tcPr>
          <w:p w:rsidR="00E444CB" w:rsidRPr="00476BAB" w:rsidP="00E444CB">
            <w:pPr>
              <w:widowControl w:val="0"/>
              <w:spacing w:line="256" w:lineRule="auto"/>
              <w:contextualSpacing/>
              <w:jc w:val="center"/>
              <w:outlineLvl w:val="0"/>
              <w:rPr>
                <w:rFonts w:eastAsia="Calibri" w:cs="Times New Roman"/>
                <w:b/>
                <w:bCs/>
              </w:rPr>
            </w:pPr>
            <w:r>
              <w:rPr>
                <w:rStyle w:val="FootnoteReference"/>
                <w:rFonts w:eastAsia="Calibri" w:cs="Times New Roman"/>
                <w:bCs/>
              </w:rPr>
              <w:footnoteReference w:id="2"/>
            </w:r>
            <w:r w:rsidRPr="00476BAB">
              <w:rPr>
                <w:rFonts w:eastAsia="Calibri" w:cs="Times New Roman"/>
                <w:b/>
                <w:bCs/>
              </w:rPr>
              <w:t>4,435</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444CB" w:rsidRPr="00E162BA" w:rsidP="00E444CB">
            <w:pPr>
              <w:widowControl w:val="0"/>
              <w:spacing w:line="256" w:lineRule="auto"/>
              <w:contextualSpacing/>
              <w:jc w:val="center"/>
              <w:outlineLvl w:val="0"/>
              <w:rPr>
                <w:rFonts w:ascii="Wingdings 3" w:eastAsia="Arial" w:hAnsi="Wingdings 3" w:cs="Times New Roman"/>
                <w:color w:val="FF0000"/>
                <w:sz w:val="32"/>
              </w:rPr>
            </w:pPr>
            <w:r w:rsidRPr="00E162BA">
              <w:rPr>
                <w:rFonts w:ascii="Wingdings" w:eastAsia="Arial" w:hAnsi="Wingdings" w:cs="Times New Roman"/>
                <w:color w:val="00B050"/>
                <w:sz w:val="44"/>
              </w:rPr>
              <w:sym w:font="Wingdings" w:char="F0AB"/>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E444CB" w:rsidRPr="00E162BA" w:rsidP="00E444CB">
            <w:pPr>
              <w:widowControl w:val="0"/>
              <w:spacing w:line="256" w:lineRule="auto"/>
              <w:contextualSpacing/>
              <w:jc w:val="center"/>
              <w:outlineLvl w:val="0"/>
              <w:rPr>
                <w:rFonts w:eastAsia="Calibri" w:cs="Times New Roman"/>
                <w:b/>
                <w:bCs/>
                <w:color w:val="00B050"/>
                <w:sz w:val="20"/>
                <w:szCs w:val="20"/>
              </w:rPr>
            </w:pPr>
            <w:r w:rsidRPr="00AC39D2">
              <w:rPr>
                <w:rFonts w:eastAsia="Calibri" w:cs="Times New Roman"/>
                <w:color w:val="00B050"/>
              </w:rPr>
              <w:t>Better than Q3:2020/21</w:t>
            </w:r>
            <w:r>
              <w:rPr>
                <w:rFonts w:eastAsia="Calibri" w:cs="Times New Roman"/>
                <w:sz w:val="20"/>
                <w:szCs w:val="20"/>
              </w:rPr>
              <w:t>)</w:t>
            </w:r>
          </w:p>
        </w:tc>
      </w:tr>
      <w:tr w:rsidTr="00E444CB">
        <w:tblPrEx>
          <w:tblW w:w="11095" w:type="dxa"/>
          <w:tblLayout w:type="fixed"/>
          <w:tblLook w:val="04A0"/>
        </w:tblPrEx>
        <w:trPr>
          <w:trHeight w:val="810"/>
        </w:trPr>
        <w:tc>
          <w:tcPr>
            <w:tcW w:w="3397" w:type="dxa"/>
            <w:shd w:val="clear" w:color="auto" w:fill="auto"/>
            <w:vAlign w:val="center"/>
          </w:tcPr>
          <w:p w:rsidR="00E444CB" w:rsidRPr="00E162BA" w:rsidP="00E444CB">
            <w:pPr>
              <w:widowControl w:val="0"/>
              <w:spacing w:line="256" w:lineRule="auto"/>
              <w:contextualSpacing/>
              <w:outlineLvl w:val="0"/>
              <w:rPr>
                <w:rFonts w:eastAsia="Calibri" w:cs="Times New Roman"/>
              </w:rPr>
            </w:pPr>
            <w:r w:rsidRPr="00E162BA">
              <w:rPr>
                <w:rFonts w:eastAsia="Calibri" w:cs="Times New Roman"/>
              </w:rPr>
              <w:t>The number of people who are prevented from becoming homeless is increased</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444CB" w:rsidRPr="00E162BA" w:rsidP="00E444CB">
            <w:pPr>
              <w:widowControl w:val="0"/>
              <w:spacing w:line="256" w:lineRule="auto"/>
              <w:contextualSpacing/>
              <w:jc w:val="center"/>
              <w:outlineLvl w:val="0"/>
              <w:rPr>
                <w:rFonts w:eastAsia="Calibri" w:cs="Times New Roman"/>
              </w:rPr>
            </w:pPr>
            <w:r w:rsidRPr="00E162BA">
              <w:rPr>
                <w:rFonts w:eastAsia="Calibri" w:cs="Times New Roman"/>
              </w:rPr>
              <w:t>Bigger is better</w:t>
            </w:r>
          </w:p>
        </w:tc>
        <w:tc>
          <w:tcPr>
            <w:tcW w:w="1276" w:type="dxa"/>
            <w:shd w:val="clear" w:color="auto" w:fill="auto"/>
            <w:vAlign w:val="center"/>
          </w:tcPr>
          <w:p w:rsidR="00E444CB" w:rsidRPr="00E162BA" w:rsidP="00E444CB">
            <w:pPr>
              <w:widowControl w:val="0"/>
              <w:spacing w:line="256" w:lineRule="auto"/>
              <w:contextualSpacing/>
              <w:jc w:val="center"/>
              <w:outlineLvl w:val="0"/>
              <w:rPr>
                <w:rFonts w:eastAsia="Calibri" w:cs="Times New Roman"/>
              </w:rPr>
            </w:pPr>
            <w:r w:rsidRPr="00E162BA">
              <w:rPr>
                <w:rFonts w:eastAsia="Calibri" w:cs="Times New Roman"/>
              </w:rPr>
              <w:t>Target to improve trend</w:t>
            </w:r>
          </w:p>
        </w:tc>
        <w:tc>
          <w:tcPr>
            <w:tcW w:w="1559" w:type="dxa"/>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75</w:t>
            </w:r>
          </w:p>
          <w:p w:rsidR="00E444CB" w:rsidRPr="00E162BA" w:rsidP="00E444CB">
            <w:pPr>
              <w:widowControl w:val="0"/>
              <w:spacing w:line="256" w:lineRule="auto"/>
              <w:contextualSpacing/>
              <w:jc w:val="center"/>
              <w:outlineLvl w:val="0"/>
              <w:rPr>
                <w:rFonts w:eastAsia="Calibri" w:cs="Times New Roman"/>
              </w:rPr>
            </w:pPr>
            <w:r>
              <w:rPr>
                <w:rFonts w:eastAsia="Calibri" w:cs="Times New Roman"/>
              </w:rPr>
              <w:t>(Q2:2021/22)</w:t>
            </w:r>
          </w:p>
        </w:tc>
        <w:tc>
          <w:tcPr>
            <w:tcW w:w="1134" w:type="dxa"/>
            <w:shd w:val="clear" w:color="auto" w:fill="F2F2F2" w:themeFill="background1" w:themeFillShade="F2"/>
            <w:vAlign w:val="center"/>
          </w:tcPr>
          <w:p w:rsidR="00E444CB" w:rsidRPr="00476BAB" w:rsidP="00E444CB">
            <w:pPr>
              <w:widowControl w:val="0"/>
              <w:spacing w:line="256" w:lineRule="auto"/>
              <w:contextualSpacing/>
              <w:jc w:val="center"/>
              <w:outlineLvl w:val="0"/>
              <w:rPr>
                <w:rFonts w:eastAsia="Calibri" w:cs="Times New Roman"/>
                <w:b/>
                <w:bCs/>
              </w:rPr>
            </w:pPr>
            <w:r w:rsidRPr="00476BAB">
              <w:rPr>
                <w:rFonts w:eastAsia="Calibri" w:cs="Times New Roman"/>
                <w:b/>
                <w:bCs/>
              </w:rPr>
              <w:t>75</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444CB" w:rsidRPr="00E162BA" w:rsidP="00E444CB">
            <w:pPr>
              <w:widowControl w:val="0"/>
              <w:spacing w:line="256" w:lineRule="auto"/>
              <w:contextualSpacing/>
              <w:jc w:val="center"/>
              <w:outlineLvl w:val="0"/>
              <w:rPr>
                <w:rFonts w:ascii="Wingdings 3" w:eastAsia="Arial" w:hAnsi="Wingdings 3" w:cs="Times New Roman"/>
                <w:color w:val="FF0000"/>
                <w:sz w:val="32"/>
              </w:rPr>
            </w:pPr>
            <w:r w:rsidRPr="00F12C84">
              <w:rPr>
                <w:rFonts w:ascii="Wingdings 3" w:eastAsia="Arial" w:hAnsi="Wingdings 3" w:cs="Times New Roman"/>
                <w:color w:val="FF0000"/>
                <w:sz w:val="32"/>
              </w:rPr>
              <w:sym w:font="Wingdings 3" w:char="F070"/>
            </w:r>
          </w:p>
        </w:tc>
        <w:tc>
          <w:tcPr>
            <w:tcW w:w="1461" w:type="dxa"/>
            <w:tcBorders>
              <w:top w:val="single" w:sz="8" w:space="0" w:color="auto"/>
              <w:left w:val="single" w:sz="8" w:space="0" w:color="auto"/>
              <w:bottom w:val="single" w:sz="8" w:space="0" w:color="auto"/>
              <w:right w:val="single" w:sz="8" w:space="0" w:color="auto"/>
            </w:tcBorders>
            <w:shd w:val="clear" w:color="auto" w:fill="auto"/>
            <w:vAlign w:val="center"/>
          </w:tcPr>
          <w:p w:rsidR="00E444CB" w:rsidRPr="00E162BA" w:rsidP="00E444CB">
            <w:pPr>
              <w:widowControl w:val="0"/>
              <w:spacing w:line="256" w:lineRule="auto"/>
              <w:contextualSpacing/>
              <w:jc w:val="center"/>
              <w:outlineLvl w:val="0"/>
              <w:rPr>
                <w:rFonts w:eastAsia="Calibri" w:cs="Times New Roman"/>
                <w:b/>
                <w:bCs/>
                <w:color w:val="00B050"/>
                <w:sz w:val="20"/>
                <w:szCs w:val="20"/>
              </w:rPr>
            </w:pPr>
            <w:r w:rsidRPr="00AC39D2">
              <w:rPr>
                <w:rFonts w:eastAsia="Calibri" w:cs="Times New Roman"/>
                <w:color w:val="FF0000"/>
              </w:rPr>
              <w:t>Worse than Q3:2020/21</w:t>
            </w:r>
          </w:p>
        </w:tc>
      </w:tr>
    </w:tbl>
    <w:p w:rsidR="00E444CB" w:rsidP="00E444CB">
      <w:pPr>
        <w:rPr>
          <w:i/>
          <w:iCs/>
        </w:rPr>
      </w:pPr>
      <w:bookmarkEnd w:id="16"/>
      <w:bookmarkEnd w:id="14"/>
    </w:p>
    <w:p w:rsidR="00E444CB" w:rsidP="00E444CB">
      <w:pPr>
        <w:rPr>
          <w:i/>
          <w:iCs/>
        </w:rPr>
      </w:pPr>
    </w:p>
    <w:p w:rsidR="00E444CB" w:rsidP="00E444CB">
      <w:pPr>
        <w:rPr>
          <w:i/>
          <w:iCs/>
        </w:rPr>
      </w:pPr>
    </w:p>
    <w:p w:rsidR="00E444CB" w:rsidP="00E444CB">
      <w:pPr>
        <w:rPr>
          <w:i/>
          <w:iCs/>
        </w:rPr>
      </w:pPr>
      <w:r>
        <w:rPr>
          <w:i/>
          <w:iCs/>
        </w:rPr>
        <w:br w:type="page"/>
      </w:r>
    </w:p>
    <w:p w:rsidR="00E444CB" w:rsidP="00E444CB">
      <w:pPr>
        <w:pStyle w:val="Heading2"/>
        <w:spacing w:before="0" w:beforeAutospacing="0"/>
        <w:ind w:left="-284"/>
        <w:rPr>
          <w:rFonts w:asciiTheme="majorHAnsi" w:hAnsiTheme="majorHAnsi" w:cstheme="majorHAnsi"/>
          <w:sz w:val="22"/>
          <w:szCs w:val="22"/>
        </w:rPr>
      </w:pPr>
      <w:r w:rsidRPr="00887342">
        <w:rPr>
          <w:rFonts w:asciiTheme="majorHAnsi" w:hAnsiTheme="majorHAnsi" w:cstheme="majorHAnsi"/>
          <w:sz w:val="22"/>
          <w:szCs w:val="22"/>
        </w:rPr>
        <w:t xml:space="preserve">Appendix </w:t>
      </w:r>
      <w:r w:rsidRPr="00E0291F">
        <w:rPr>
          <w:rFonts w:asciiTheme="majorHAnsi" w:hAnsiTheme="majorHAnsi" w:cstheme="majorHAnsi"/>
          <w:sz w:val="22"/>
        </w:rPr>
        <w:t>2 – Key Organisational Performance Measures</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9"/>
        <w:gridCol w:w="1134"/>
        <w:gridCol w:w="1276"/>
        <w:gridCol w:w="1559"/>
        <w:gridCol w:w="1418"/>
        <w:gridCol w:w="1036"/>
        <w:gridCol w:w="1417"/>
      </w:tblGrid>
      <w:tr w:rsidTr="00E444CB">
        <w:tblPrEx>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71"/>
        </w:trPr>
        <w:tc>
          <w:tcPr>
            <w:tcW w:w="3359" w:type="dxa"/>
            <w:shd w:val="clear" w:color="auto" w:fill="BFBFBF"/>
            <w:vAlign w:val="center"/>
          </w:tcPr>
          <w:p w:rsidR="00E444CB" w:rsidRPr="007D5CCB" w:rsidP="00E444CB">
            <w:pPr>
              <w:widowControl w:val="0"/>
              <w:jc w:val="center"/>
              <w:outlineLvl w:val="0"/>
              <w:rPr>
                <w:rFonts w:eastAsia="Calibri" w:cs="Times New Roman"/>
                <w:b/>
                <w:bCs/>
              </w:rPr>
            </w:pPr>
            <w:bookmarkStart w:id="18" w:name="_Hlk65236075"/>
            <w:r w:rsidRPr="007D5CCB">
              <w:rPr>
                <w:rFonts w:eastAsia="Calibri" w:cs="Times New Roman"/>
                <w:b/>
                <w:bCs/>
              </w:rPr>
              <w:t>Indicator Name</w:t>
            </w:r>
          </w:p>
        </w:tc>
        <w:tc>
          <w:tcPr>
            <w:tcW w:w="1134" w:type="dxa"/>
            <w:shd w:val="clear" w:color="auto" w:fill="BFBFBF"/>
            <w:vAlign w:val="center"/>
          </w:tcPr>
          <w:p w:rsidR="00E444CB" w:rsidRPr="007D5CCB" w:rsidP="00E444CB">
            <w:pPr>
              <w:widowControl w:val="0"/>
              <w:jc w:val="center"/>
              <w:outlineLvl w:val="0"/>
              <w:rPr>
                <w:rFonts w:eastAsia="Calibri" w:cs="Times New Roman"/>
                <w:b/>
                <w:bCs/>
              </w:rPr>
            </w:pPr>
            <w:r w:rsidRPr="007D5CCB">
              <w:rPr>
                <w:rFonts w:eastAsia="Calibri" w:cs="Times New Roman"/>
                <w:b/>
                <w:bCs/>
              </w:rPr>
              <w:t>Polarity</w:t>
            </w:r>
          </w:p>
        </w:tc>
        <w:tc>
          <w:tcPr>
            <w:tcW w:w="1276" w:type="dxa"/>
            <w:shd w:val="clear" w:color="auto" w:fill="BFBFBF"/>
            <w:vAlign w:val="center"/>
          </w:tcPr>
          <w:p w:rsidR="00E444CB" w:rsidRPr="007D5CCB" w:rsidP="00E444CB">
            <w:pPr>
              <w:widowControl w:val="0"/>
              <w:jc w:val="center"/>
              <w:outlineLvl w:val="0"/>
              <w:rPr>
                <w:rFonts w:eastAsia="Calibri" w:cs="Times New Roman"/>
                <w:b/>
                <w:bCs/>
              </w:rPr>
            </w:pPr>
            <w:r w:rsidRPr="007D5CCB">
              <w:rPr>
                <w:rFonts w:eastAsia="Calibri" w:cs="Times New Roman"/>
                <w:b/>
                <w:bCs/>
              </w:rPr>
              <w:t>Target</w:t>
            </w:r>
          </w:p>
        </w:tc>
        <w:tc>
          <w:tcPr>
            <w:tcW w:w="1559" w:type="dxa"/>
            <w:shd w:val="clear" w:color="auto" w:fill="BFBFBF"/>
            <w:vAlign w:val="center"/>
          </w:tcPr>
          <w:p w:rsidR="00E444CB" w:rsidRPr="007D5CCB" w:rsidP="00E444CB">
            <w:pPr>
              <w:widowControl w:val="0"/>
              <w:jc w:val="center"/>
              <w:outlineLvl w:val="0"/>
              <w:rPr>
                <w:rFonts w:eastAsia="Calibri" w:cs="Times New Roman"/>
                <w:b/>
                <w:bCs/>
              </w:rPr>
            </w:pPr>
            <w:r w:rsidRPr="007D5CCB">
              <w:rPr>
                <w:rFonts w:eastAsia="Calibri" w:cs="Times New Roman"/>
                <w:b/>
                <w:bCs/>
              </w:rPr>
              <w:t>Comparison</w:t>
            </w:r>
          </w:p>
        </w:tc>
        <w:tc>
          <w:tcPr>
            <w:tcW w:w="1418" w:type="dxa"/>
            <w:shd w:val="clear" w:color="auto" w:fill="BFBFBF" w:themeFill="background1" w:themeFillShade="BF"/>
            <w:vAlign w:val="center"/>
          </w:tcPr>
          <w:p w:rsidR="00E444CB" w:rsidRPr="007D5CCB" w:rsidP="00E444CB">
            <w:pPr>
              <w:widowControl w:val="0"/>
              <w:spacing w:after="0" w:line="240" w:lineRule="auto"/>
              <w:jc w:val="center"/>
              <w:outlineLvl w:val="0"/>
              <w:rPr>
                <w:rFonts w:eastAsia="Calibri" w:cs="Times New Roman"/>
                <w:b/>
                <w:bCs/>
              </w:rPr>
            </w:pPr>
            <w:r w:rsidRPr="007D5CCB">
              <w:rPr>
                <w:rFonts w:eastAsia="Calibri" w:cs="Times New Roman"/>
                <w:b/>
                <w:bCs/>
              </w:rPr>
              <w:t>Quarter 3</w:t>
            </w:r>
          </w:p>
          <w:p w:rsidR="00E444CB" w:rsidRPr="007D5CCB" w:rsidP="00E444CB">
            <w:pPr>
              <w:widowControl w:val="0"/>
              <w:spacing w:after="0" w:line="240" w:lineRule="auto"/>
              <w:jc w:val="center"/>
              <w:outlineLvl w:val="0"/>
              <w:rPr>
                <w:rFonts w:eastAsia="Calibri" w:cs="Times New Roman"/>
                <w:b/>
                <w:bCs/>
              </w:rPr>
            </w:pPr>
            <w:r w:rsidRPr="007D5CCB">
              <w:rPr>
                <w:rFonts w:eastAsia="Calibri" w:cs="Times New Roman"/>
                <w:b/>
                <w:bCs/>
              </w:rPr>
              <w:t>2021/22</w:t>
            </w:r>
          </w:p>
        </w:tc>
        <w:tc>
          <w:tcPr>
            <w:tcW w:w="1036" w:type="dxa"/>
            <w:shd w:val="clear" w:color="auto" w:fill="BFBFBF" w:themeFill="background1" w:themeFillShade="BF"/>
            <w:vAlign w:val="center"/>
          </w:tcPr>
          <w:p w:rsidR="00E444CB" w:rsidRPr="007D5CCB" w:rsidP="00E444CB">
            <w:pPr>
              <w:widowControl w:val="0"/>
              <w:jc w:val="center"/>
              <w:outlineLvl w:val="0"/>
              <w:rPr>
                <w:rFonts w:eastAsia="Calibri" w:cs="Times New Roman"/>
                <w:b/>
                <w:bCs/>
              </w:rPr>
            </w:pPr>
            <w:r w:rsidRPr="007D5CCB">
              <w:rPr>
                <w:rFonts w:eastAsia="Calibri" w:cs="Times New Roman"/>
                <w:b/>
                <w:bCs/>
              </w:rPr>
              <w:t>Symbol</w:t>
            </w:r>
          </w:p>
        </w:tc>
        <w:tc>
          <w:tcPr>
            <w:tcW w:w="1417" w:type="dxa"/>
            <w:shd w:val="clear" w:color="auto" w:fill="BFBFBF" w:themeFill="background1" w:themeFillShade="BF"/>
            <w:vAlign w:val="center"/>
          </w:tcPr>
          <w:p w:rsidR="00E444CB" w:rsidRPr="007D5CCB" w:rsidP="00E444CB">
            <w:pPr>
              <w:widowControl w:val="0"/>
              <w:jc w:val="center"/>
              <w:outlineLvl w:val="0"/>
              <w:rPr>
                <w:rFonts w:eastAsia="Calibri" w:cs="Times New Roman"/>
                <w:b/>
                <w:bCs/>
              </w:rPr>
            </w:pPr>
            <w:r w:rsidRPr="007D5CCB">
              <w:rPr>
                <w:rFonts w:eastAsia="Calibri" w:cs="Times New Roman"/>
                <w:b/>
                <w:bCs/>
              </w:rPr>
              <w:t>Trend</w:t>
            </w:r>
          </w:p>
        </w:tc>
      </w:tr>
      <w:tr w:rsidTr="00E444CB">
        <w:tblPrEx>
          <w:tblW w:w="11199" w:type="dxa"/>
          <w:tblInd w:w="-431"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rsidR="00E444CB" w:rsidRPr="007D5CCB" w:rsidP="00E444CB">
            <w:pPr>
              <w:widowControl w:val="0"/>
              <w:spacing w:line="256" w:lineRule="auto"/>
              <w:contextualSpacing/>
              <w:outlineLvl w:val="0"/>
              <w:rPr>
                <w:rFonts w:eastAsia="Calibri" w:cs="Times New Roman"/>
              </w:rPr>
            </w:pPr>
            <w:bookmarkStart w:id="19" w:name="_Hlk84604719"/>
            <w:bookmarkStart w:id="20" w:name="_Hlk64544498"/>
            <w:r w:rsidRPr="007D5CCB">
              <w:rPr>
                <w:rFonts w:eastAsia="Calibri" w:cs="Times New Roman"/>
              </w:rPr>
              <w:t>Number of households in temporary accommodation at the end of the quarter</w:t>
            </w:r>
            <w:bookmarkEnd w:id="19"/>
            <w:r w:rsidRPr="007D5CCB">
              <w:rPr>
                <w:rFonts w:eastAsia="Calibri" w:cs="Times New Roman"/>
              </w:rPr>
              <w:t xml:space="preserve">  </w:t>
            </w:r>
          </w:p>
        </w:tc>
        <w:tc>
          <w:tcPr>
            <w:tcW w:w="1134" w:type="dxa"/>
            <w:vAlign w:val="center"/>
          </w:tcPr>
          <w:p w:rsidR="00E444CB" w:rsidRPr="007D5CCB" w:rsidP="00E444CB">
            <w:pPr>
              <w:widowControl w:val="0"/>
              <w:spacing w:line="256" w:lineRule="auto"/>
              <w:contextualSpacing/>
              <w:jc w:val="center"/>
              <w:outlineLvl w:val="0"/>
              <w:rPr>
                <w:rFonts w:eastAsia="Calibri" w:cs="Times New Roman"/>
              </w:rPr>
            </w:pPr>
            <w:r w:rsidRPr="007D5CCB">
              <w:rPr>
                <w:rFonts w:eastAsia="Calibri" w:cs="Times New Roman"/>
              </w:rPr>
              <w:t>Smaller is better</w:t>
            </w:r>
          </w:p>
        </w:tc>
        <w:tc>
          <w:tcPr>
            <w:tcW w:w="1276" w:type="dxa"/>
            <w:vAlign w:val="center"/>
          </w:tcPr>
          <w:p w:rsidR="00E444CB" w:rsidRPr="007D5CCB" w:rsidP="00E444CB">
            <w:pPr>
              <w:widowControl w:val="0"/>
              <w:spacing w:line="256" w:lineRule="auto"/>
              <w:contextualSpacing/>
              <w:jc w:val="center"/>
              <w:outlineLvl w:val="0"/>
              <w:rPr>
                <w:rFonts w:eastAsia="Calibri" w:cs="Times New Roman"/>
              </w:rPr>
            </w:pPr>
            <w:r w:rsidRPr="007D5CCB">
              <w:rPr>
                <w:rFonts w:eastAsia="Calibri" w:cs="Times New Roman"/>
              </w:rPr>
              <w:t>Target to improve trend</w:t>
            </w:r>
          </w:p>
        </w:tc>
        <w:tc>
          <w:tcPr>
            <w:tcW w:w="1559" w:type="dxa"/>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44</w:t>
            </w:r>
          </w:p>
          <w:p w:rsidR="00E444CB" w:rsidRPr="007D5CCB" w:rsidP="00E444CB">
            <w:pPr>
              <w:widowControl w:val="0"/>
              <w:spacing w:line="256" w:lineRule="auto"/>
              <w:contextualSpacing/>
              <w:jc w:val="center"/>
              <w:outlineLvl w:val="0"/>
              <w:rPr>
                <w:rFonts w:eastAsia="Calibri" w:cs="Times New Roman"/>
              </w:rPr>
            </w:pPr>
            <w:r>
              <w:rPr>
                <w:rFonts w:eastAsia="Calibri" w:cs="Times New Roman"/>
              </w:rPr>
              <w:t>(Q2:2021/22)</w:t>
            </w:r>
          </w:p>
        </w:tc>
        <w:tc>
          <w:tcPr>
            <w:tcW w:w="1418" w:type="dxa"/>
            <w:shd w:val="clear" w:color="auto" w:fill="F2F2F2" w:themeFill="background1" w:themeFillShade="F2"/>
            <w:vAlign w:val="center"/>
          </w:tcPr>
          <w:p w:rsidR="00E444CB" w:rsidRPr="007D5CCB" w:rsidP="00E444CB">
            <w:pPr>
              <w:widowControl w:val="0"/>
              <w:spacing w:line="256" w:lineRule="auto"/>
              <w:contextualSpacing/>
              <w:jc w:val="center"/>
              <w:outlineLvl w:val="0"/>
              <w:rPr>
                <w:rFonts w:eastAsia="Calibri" w:cs="Times New Roman"/>
                <w:b/>
                <w:bCs/>
              </w:rPr>
            </w:pPr>
            <w:r>
              <w:rPr>
                <w:rFonts w:eastAsia="Calibri" w:cs="Times New Roman"/>
                <w:b/>
                <w:bCs/>
              </w:rPr>
              <w:t>51</w:t>
            </w:r>
          </w:p>
        </w:tc>
        <w:tc>
          <w:tcPr>
            <w:tcW w:w="1036" w:type="dxa"/>
            <w:vAlign w:val="center"/>
          </w:tcPr>
          <w:p w:rsidR="00E444CB" w:rsidRPr="007D5CCB" w:rsidP="00E444CB">
            <w:pPr>
              <w:widowControl w:val="0"/>
              <w:spacing w:line="256" w:lineRule="auto"/>
              <w:contextualSpacing/>
              <w:jc w:val="center"/>
              <w:outlineLvl w:val="0"/>
              <w:rPr>
                <w:rFonts w:eastAsia="Calibri" w:cs="Times New Roman"/>
              </w:rPr>
            </w:pPr>
            <w:r w:rsidRPr="00E162BA">
              <w:rPr>
                <w:rFonts w:ascii="Wingdings 3" w:eastAsia="Arial" w:hAnsi="Wingdings 3" w:cs="Times New Roman"/>
                <w:color w:val="FF0000"/>
                <w:sz w:val="32"/>
              </w:rPr>
              <w:sym w:font="Wingdings 3" w:char="F070"/>
            </w:r>
          </w:p>
        </w:tc>
        <w:tc>
          <w:tcPr>
            <w:tcW w:w="1417" w:type="dxa"/>
            <w:vAlign w:val="center"/>
          </w:tcPr>
          <w:p w:rsidR="00E444CB" w:rsidRPr="007D5CCB" w:rsidP="00E444CB">
            <w:pPr>
              <w:widowControl w:val="0"/>
              <w:spacing w:line="256" w:lineRule="auto"/>
              <w:contextualSpacing/>
              <w:jc w:val="center"/>
              <w:outlineLvl w:val="0"/>
              <w:rPr>
                <w:rFonts w:eastAsia="Calibri" w:cs="Times New Roman"/>
                <w:b/>
                <w:bCs/>
              </w:rPr>
            </w:pPr>
            <w:r w:rsidRPr="00AC39D2">
              <w:rPr>
                <w:rFonts w:eastAsia="Calibri" w:cs="Times New Roman"/>
                <w:color w:val="FF0000"/>
              </w:rPr>
              <w:t>Worse than Q3:2020/21</w:t>
            </w:r>
          </w:p>
        </w:tc>
      </w:tr>
      <w:tr w:rsidTr="00E444CB">
        <w:tblPrEx>
          <w:tblW w:w="11199" w:type="dxa"/>
          <w:tblInd w:w="-431"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auto" w:fill="auto"/>
            <w:vAlign w:val="center"/>
          </w:tcPr>
          <w:p w:rsidR="00E444CB" w:rsidRPr="00661BF9" w:rsidP="00E444CB">
            <w:pPr>
              <w:widowControl w:val="0"/>
              <w:spacing w:line="256" w:lineRule="auto"/>
              <w:contextualSpacing/>
              <w:outlineLvl w:val="0"/>
              <w:rPr>
                <w:rFonts w:eastAsia="Calibri" w:cs="Times New Roman"/>
              </w:rPr>
            </w:pPr>
            <w:bookmarkStart w:id="21" w:name="_Hlk95307758"/>
            <w:r w:rsidRPr="00661BF9">
              <w:rPr>
                <w:rFonts w:eastAsia="Calibri" w:cs="Times New Roman"/>
              </w:rPr>
              <w:t xml:space="preserve">Number of Accidents reported to Health and Safety from work related activity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F12C84" w:rsidP="00E444CB">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F12C84" w:rsidP="00E444CB">
            <w:pPr>
              <w:widowControl w:val="0"/>
              <w:spacing w:line="256" w:lineRule="auto"/>
              <w:contextualSpacing/>
              <w:jc w:val="center"/>
              <w:outlineLvl w:val="0"/>
              <w:rPr>
                <w:rFonts w:eastAsia="Calibri" w:cs="Times New Roman"/>
              </w:rPr>
            </w:pPr>
            <w:r w:rsidRPr="00F12C84">
              <w:rPr>
                <w:rFonts w:eastAsia="Calibri" w:cs="Times New Roman"/>
              </w:rPr>
              <w:t>Target to improve trend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16</w:t>
            </w:r>
          </w:p>
          <w:p w:rsidR="00E444CB" w:rsidRPr="008D50D5" w:rsidP="00E444CB">
            <w:pPr>
              <w:widowControl w:val="0"/>
              <w:spacing w:line="256" w:lineRule="auto"/>
              <w:contextualSpacing/>
              <w:jc w:val="center"/>
              <w:outlineLvl w:val="0"/>
              <w:rPr>
                <w:rFonts w:eastAsia="Calibri" w:cs="Times New Roman"/>
              </w:rPr>
            </w:pPr>
            <w:r>
              <w:rPr>
                <w:rFonts w:eastAsia="Calibri" w:cs="Times New Roman"/>
              </w:rPr>
              <w:t>(Q2:2021/22)</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CB" w:rsidRPr="008D50D5" w:rsidP="00E444CB">
            <w:pPr>
              <w:widowControl w:val="0"/>
              <w:spacing w:line="256" w:lineRule="auto"/>
              <w:contextualSpacing/>
              <w:jc w:val="center"/>
              <w:outlineLvl w:val="0"/>
              <w:rPr>
                <w:rFonts w:eastAsia="Calibri" w:cs="Times New Roman"/>
                <w:b/>
                <w:bCs/>
              </w:rPr>
            </w:pPr>
            <w:r>
              <w:rPr>
                <w:rFonts w:eastAsia="Calibri" w:cs="Times New Roman"/>
                <w:b/>
                <w:bCs/>
              </w:rPr>
              <w:t>10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8D50D5" w:rsidP="00E444CB">
            <w:pPr>
              <w:widowControl w:val="0"/>
              <w:spacing w:line="256" w:lineRule="auto"/>
              <w:contextualSpacing/>
              <w:jc w:val="center"/>
              <w:outlineLvl w:val="0"/>
              <w:rPr>
                <w:rFonts w:ascii="Wingdings" w:eastAsia="Arial" w:hAnsi="Wingdings" w:cs="Times New Roman"/>
                <w:color w:val="00B050"/>
                <w:sz w:val="44"/>
              </w:rPr>
            </w:pPr>
            <w:r w:rsidRPr="007D5CCB">
              <w:rPr>
                <w:rFonts w:ascii="Wingdings" w:eastAsia="Arial" w:hAnsi="Wingdings" w:cs="Times New Roman"/>
                <w:color w:val="00B050"/>
                <w:sz w:val="44"/>
              </w:rPr>
              <w:sym w:font="Wingdings" w:char="F0AB"/>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DA4EF9" w:rsidP="00E444CB">
            <w:pPr>
              <w:widowControl w:val="0"/>
              <w:spacing w:line="256" w:lineRule="auto"/>
              <w:contextualSpacing/>
              <w:jc w:val="center"/>
              <w:outlineLvl w:val="0"/>
              <w:rPr>
                <w:rFonts w:eastAsia="Calibri" w:cs="Times New Roman"/>
                <w:sz w:val="20"/>
                <w:szCs w:val="20"/>
              </w:rPr>
            </w:pPr>
            <w:r w:rsidRPr="00AC39D2">
              <w:rPr>
                <w:rFonts w:eastAsia="Calibri" w:cs="Times New Roman"/>
                <w:color w:val="00B050"/>
              </w:rPr>
              <w:t>Better than Q3:2020/21</w:t>
            </w:r>
          </w:p>
        </w:tc>
      </w:tr>
      <w:tr w:rsidTr="00E444CB">
        <w:tblPrEx>
          <w:tblW w:w="11199" w:type="dxa"/>
          <w:tblInd w:w="-431"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auto" w:fill="auto"/>
            <w:vAlign w:val="center"/>
          </w:tcPr>
          <w:p w:rsidR="00E444CB" w:rsidRPr="00661BF9" w:rsidP="00E444CB">
            <w:pPr>
              <w:widowControl w:val="0"/>
              <w:spacing w:line="256" w:lineRule="auto"/>
              <w:contextualSpacing/>
              <w:outlineLvl w:val="0"/>
              <w:rPr>
                <w:rFonts w:eastAsia="Calibri" w:cs="Times New Roman"/>
              </w:rPr>
            </w:pPr>
            <w:r w:rsidRPr="00661BF9">
              <w:rPr>
                <w:rFonts w:eastAsia="Calibri" w:cs="Times New Roman"/>
              </w:rPr>
              <w:t xml:space="preserve">No. of accidents reported to Health Safety Executive for work related activity </w:t>
            </w:r>
            <w:r w:rsidRPr="00661BF9">
              <w:rPr>
                <w:rFonts w:eastAsia="Calibri" w:cs="Times New Roman"/>
              </w:rPr>
              <w:t>(RIDDOR)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F12C84" w:rsidP="00E444CB">
            <w:pPr>
              <w:widowControl w:val="0"/>
              <w:spacing w:line="256" w:lineRule="auto"/>
              <w:contextualSpacing/>
              <w:jc w:val="center"/>
              <w:outlineLvl w:val="0"/>
              <w:rPr>
                <w:rFonts w:eastAsia="Calibri" w:cs="Times New Roman"/>
              </w:rPr>
            </w:pPr>
            <w:r w:rsidRPr="00F12C84">
              <w:rPr>
                <w:rFonts w:eastAsia="Calibri" w:cs="Times New Roman"/>
              </w:rPr>
              <w:t>Smaller is better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F12C84" w:rsidP="00E444CB">
            <w:pPr>
              <w:widowControl w:val="0"/>
              <w:spacing w:line="256" w:lineRule="auto"/>
              <w:contextualSpacing/>
              <w:jc w:val="center"/>
              <w:outlineLvl w:val="0"/>
              <w:rPr>
                <w:rFonts w:eastAsia="Calibri" w:cs="Times New Roman"/>
              </w:rPr>
            </w:pPr>
            <w:r w:rsidRPr="00F12C84">
              <w:rPr>
                <w:rFonts w:eastAsia="Calibri" w:cs="Times New Roman"/>
              </w:rPr>
              <w:t>Target to improve trend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1</w:t>
            </w:r>
          </w:p>
          <w:p w:rsidR="00E444CB" w:rsidRPr="008D50D5" w:rsidP="00E444CB">
            <w:pPr>
              <w:widowControl w:val="0"/>
              <w:spacing w:line="256" w:lineRule="auto"/>
              <w:contextualSpacing/>
              <w:jc w:val="center"/>
              <w:outlineLvl w:val="0"/>
              <w:rPr>
                <w:rFonts w:eastAsia="Calibri" w:cs="Times New Roman"/>
              </w:rPr>
            </w:pPr>
            <w:r>
              <w:rPr>
                <w:rFonts w:eastAsia="Calibri" w:cs="Times New Roman"/>
              </w:rPr>
              <w:t>(Q2:2021/22)</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CB" w:rsidRPr="008D50D5" w:rsidP="00E444CB">
            <w:pPr>
              <w:widowControl w:val="0"/>
              <w:spacing w:line="256" w:lineRule="auto"/>
              <w:contextualSpacing/>
              <w:jc w:val="center"/>
              <w:outlineLvl w:val="0"/>
              <w:rPr>
                <w:rFonts w:eastAsia="Calibri" w:cs="Times New Roman"/>
                <w:b/>
                <w:bCs/>
              </w:rPr>
            </w:pPr>
            <w:r>
              <w:rPr>
                <w:rFonts w:eastAsia="Calibri" w:cs="Times New Roman"/>
                <w:b/>
                <w:bCs/>
              </w:rPr>
              <w:t>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8D50D5" w:rsidP="00E444CB">
            <w:pPr>
              <w:widowControl w:val="0"/>
              <w:spacing w:line="256" w:lineRule="auto"/>
              <w:contextualSpacing/>
              <w:jc w:val="center"/>
              <w:outlineLvl w:val="0"/>
              <w:rPr>
                <w:rFonts w:ascii="Wingdings" w:eastAsia="Arial" w:hAnsi="Wingdings" w:cs="Times New Roman"/>
                <w:color w:val="00B050"/>
                <w:sz w:val="44"/>
              </w:rPr>
            </w:pPr>
            <w:r w:rsidRPr="007D5CCB">
              <w:rPr>
                <w:rFonts w:ascii="Wingdings" w:eastAsia="Arial" w:hAnsi="Wingdings" w:cs="Times New Roman"/>
                <w:color w:val="00B050"/>
                <w:sz w:val="44"/>
              </w:rPr>
              <w:sym w:font="Wingdings" w:char="F0AB"/>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BB3286" w:rsidP="00E444CB">
            <w:pPr>
              <w:widowControl w:val="0"/>
              <w:spacing w:line="256" w:lineRule="auto"/>
              <w:contextualSpacing/>
              <w:jc w:val="center"/>
              <w:outlineLvl w:val="0"/>
              <w:rPr>
                <w:rFonts w:eastAsia="Calibri" w:cs="Times New Roman"/>
              </w:rPr>
            </w:pPr>
            <w:r w:rsidRPr="00BB3286">
              <w:rPr>
                <w:rFonts w:eastAsia="Calibri" w:cs="Times New Roman"/>
              </w:rPr>
              <w:t>Same as Q3:2020/21</w:t>
            </w:r>
          </w:p>
        </w:tc>
      </w:tr>
      <w:tr w:rsidTr="00E444CB">
        <w:tblPrEx>
          <w:tblW w:w="11199" w:type="dxa"/>
          <w:tblInd w:w="-431"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auto" w:fill="auto"/>
            <w:vAlign w:val="center"/>
          </w:tcPr>
          <w:p w:rsidR="00E444CB" w:rsidRPr="00661BF9" w:rsidP="00E444CB">
            <w:pPr>
              <w:widowControl w:val="0"/>
              <w:spacing w:line="256" w:lineRule="auto"/>
              <w:contextualSpacing/>
              <w:outlineLvl w:val="0"/>
              <w:rPr>
                <w:rFonts w:eastAsia="Calibri" w:cs="Times New Roman"/>
              </w:rPr>
            </w:pPr>
            <w:r w:rsidRPr="00661BF9">
              <w:rPr>
                <w:rFonts w:eastAsia="Calibri" w:cs="Times New Roman"/>
              </w:rPr>
              <w:t xml:space="preserve">Number of near miss incidents reported to Health and Safety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F12C84" w:rsidP="00E444CB">
            <w:pPr>
              <w:widowControl w:val="0"/>
              <w:spacing w:line="256" w:lineRule="auto"/>
              <w:contextualSpacing/>
              <w:jc w:val="center"/>
              <w:outlineLvl w:val="0"/>
              <w:rPr>
                <w:rFonts w:eastAsia="Calibri" w:cs="Times New Roman"/>
              </w:rPr>
            </w:pPr>
            <w:r w:rsidRPr="00F12C84">
              <w:rPr>
                <w:rFonts w:eastAsia="Calibri" w:cs="Times New Roman"/>
              </w:rPr>
              <w:t>Bigger is better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F12C84" w:rsidP="00E444CB">
            <w:pPr>
              <w:widowControl w:val="0"/>
              <w:spacing w:line="256" w:lineRule="auto"/>
              <w:contextualSpacing/>
              <w:jc w:val="center"/>
              <w:outlineLvl w:val="0"/>
              <w:rPr>
                <w:rFonts w:eastAsia="Calibri" w:cs="Times New Roman"/>
              </w:rPr>
            </w:pPr>
            <w:r w:rsidRPr="00F12C84">
              <w:rPr>
                <w:rFonts w:eastAsia="Calibri" w:cs="Times New Roman"/>
              </w:rPr>
              <w:t>Target to improve trend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0</w:t>
            </w:r>
          </w:p>
          <w:p w:rsidR="00E444CB" w:rsidRPr="008D50D5" w:rsidP="00E444CB">
            <w:pPr>
              <w:widowControl w:val="0"/>
              <w:spacing w:line="256" w:lineRule="auto"/>
              <w:contextualSpacing/>
              <w:jc w:val="center"/>
              <w:outlineLvl w:val="0"/>
              <w:rPr>
                <w:rFonts w:eastAsia="Calibri" w:cs="Times New Roman"/>
              </w:rPr>
            </w:pPr>
            <w:r>
              <w:rPr>
                <w:rFonts w:eastAsia="Calibri" w:cs="Times New Roman"/>
              </w:rPr>
              <w:t>(Q2:2021/22)</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444CB" w:rsidRPr="008D50D5" w:rsidP="00E444CB">
            <w:pPr>
              <w:widowControl w:val="0"/>
              <w:spacing w:line="256" w:lineRule="auto"/>
              <w:contextualSpacing/>
              <w:jc w:val="center"/>
              <w:outlineLvl w:val="0"/>
              <w:rPr>
                <w:rFonts w:eastAsia="Calibri" w:cs="Times New Roman"/>
                <w:b/>
                <w:bCs/>
              </w:rPr>
            </w:pPr>
            <w:r>
              <w:rPr>
                <w:rFonts w:eastAsia="Calibri" w:cs="Times New Roman"/>
                <w:b/>
                <w:bCs/>
              </w:rPr>
              <w:t>1</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8D50D5" w:rsidP="00E444CB">
            <w:pPr>
              <w:widowControl w:val="0"/>
              <w:spacing w:line="256" w:lineRule="auto"/>
              <w:contextualSpacing/>
              <w:jc w:val="center"/>
              <w:outlineLvl w:val="0"/>
              <w:rPr>
                <w:rFonts w:ascii="Wingdings" w:eastAsia="Arial" w:hAnsi="Wingdings" w:cs="Times New Roman"/>
                <w:color w:val="00B050"/>
                <w:sz w:val="44"/>
              </w:rPr>
            </w:pPr>
            <w:r w:rsidRPr="007D5CCB">
              <w:rPr>
                <w:rFonts w:ascii="Wingdings" w:eastAsia="Arial" w:hAnsi="Wingdings" w:cs="Times New Roman"/>
                <w:color w:val="00B050"/>
                <w:sz w:val="44"/>
              </w:rPr>
              <w:sym w:font="Wingdings" w:char="F0AB"/>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444CB" w:rsidRPr="00DA4EF9" w:rsidP="00E444CB">
            <w:pPr>
              <w:widowControl w:val="0"/>
              <w:spacing w:line="256" w:lineRule="auto"/>
              <w:contextualSpacing/>
              <w:jc w:val="center"/>
              <w:outlineLvl w:val="0"/>
              <w:rPr>
                <w:rFonts w:eastAsia="Calibri" w:cs="Times New Roman"/>
                <w:sz w:val="20"/>
                <w:szCs w:val="20"/>
              </w:rPr>
            </w:pPr>
            <w:r w:rsidRPr="00AC39D2">
              <w:rPr>
                <w:rFonts w:eastAsia="Calibri" w:cs="Times New Roman"/>
                <w:color w:val="FF0000"/>
              </w:rPr>
              <w:t>Worse than Q3:2020/21</w:t>
            </w:r>
          </w:p>
        </w:tc>
      </w:tr>
      <w:tr w:rsidTr="00E444CB">
        <w:tblPrEx>
          <w:tblW w:w="11199" w:type="dxa"/>
          <w:tblInd w:w="-431"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auto" w:fill="auto"/>
            <w:vAlign w:val="center"/>
          </w:tcPr>
          <w:p w:rsidR="00E444CB" w:rsidRPr="007D5CCB" w:rsidP="00E444CB">
            <w:pPr>
              <w:widowControl w:val="0"/>
              <w:spacing w:line="256" w:lineRule="auto"/>
              <w:contextualSpacing/>
              <w:outlineLvl w:val="0"/>
              <w:rPr>
                <w:rFonts w:eastAsia="Calibri" w:cs="Times New Roman"/>
              </w:rPr>
            </w:pPr>
            <w:bookmarkStart w:id="22" w:name="_Hlk84604744"/>
            <w:bookmarkEnd w:id="21"/>
            <w:r w:rsidRPr="007D5CCB">
              <w:rPr>
                <w:rFonts w:eastAsia="Calibri" w:cs="Times New Roman"/>
              </w:rPr>
              <w:t>The average number of working days from Disabled Facilities grant referral received from LCC to application approved</w:t>
            </w:r>
            <w:bookmarkEnd w:id="22"/>
          </w:p>
        </w:tc>
        <w:tc>
          <w:tcPr>
            <w:tcW w:w="1134" w:type="dxa"/>
            <w:shd w:val="clear" w:color="auto" w:fill="auto"/>
            <w:vAlign w:val="center"/>
          </w:tcPr>
          <w:p w:rsidR="00E444CB" w:rsidRPr="007D5CCB" w:rsidP="00E444CB">
            <w:pPr>
              <w:widowControl w:val="0"/>
              <w:spacing w:line="256" w:lineRule="auto"/>
              <w:contextualSpacing/>
              <w:jc w:val="center"/>
              <w:outlineLvl w:val="0"/>
              <w:rPr>
                <w:rFonts w:eastAsia="Calibri" w:cs="Times New Roman"/>
              </w:rPr>
            </w:pPr>
            <w:r w:rsidRPr="007D5CCB">
              <w:rPr>
                <w:rFonts w:eastAsia="Calibri" w:cs="Times New Roman"/>
              </w:rPr>
              <w:t>Smaller is better</w:t>
            </w:r>
          </w:p>
        </w:tc>
        <w:tc>
          <w:tcPr>
            <w:tcW w:w="1276" w:type="dxa"/>
            <w:shd w:val="clear" w:color="auto" w:fill="auto"/>
            <w:vAlign w:val="center"/>
          </w:tcPr>
          <w:p w:rsidR="00E444CB" w:rsidRPr="007D5CCB" w:rsidP="00E444CB">
            <w:pPr>
              <w:widowControl w:val="0"/>
              <w:spacing w:line="256" w:lineRule="auto"/>
              <w:contextualSpacing/>
              <w:jc w:val="center"/>
              <w:outlineLvl w:val="0"/>
              <w:rPr>
                <w:rFonts w:eastAsia="Calibri" w:cs="Times New Roman"/>
              </w:rPr>
            </w:pPr>
            <w:r w:rsidRPr="007D5CCB">
              <w:rPr>
                <w:rFonts w:eastAsia="Calibri" w:cs="Times New Roman"/>
              </w:rPr>
              <w:t>Target to improve trend</w:t>
            </w:r>
          </w:p>
        </w:tc>
        <w:tc>
          <w:tcPr>
            <w:tcW w:w="1559" w:type="dxa"/>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127</w:t>
            </w:r>
          </w:p>
          <w:p w:rsidR="00E444CB" w:rsidRPr="007D5CCB" w:rsidP="00E444CB">
            <w:pPr>
              <w:widowControl w:val="0"/>
              <w:spacing w:line="256" w:lineRule="auto"/>
              <w:contextualSpacing/>
              <w:jc w:val="center"/>
              <w:outlineLvl w:val="0"/>
              <w:rPr>
                <w:rFonts w:eastAsia="Calibri" w:cs="Times New Roman"/>
              </w:rPr>
            </w:pPr>
            <w:r>
              <w:rPr>
                <w:rFonts w:eastAsia="Calibri" w:cs="Times New Roman"/>
              </w:rPr>
              <w:t>(Q2:2021/22)</w:t>
            </w:r>
          </w:p>
        </w:tc>
        <w:tc>
          <w:tcPr>
            <w:tcW w:w="1418" w:type="dxa"/>
            <w:shd w:val="clear" w:color="auto" w:fill="F2F2F2" w:themeFill="background1" w:themeFillShade="F2"/>
            <w:vAlign w:val="center"/>
          </w:tcPr>
          <w:p w:rsidR="00E444CB" w:rsidRPr="007D5CCB" w:rsidP="00E444CB">
            <w:pPr>
              <w:widowControl w:val="0"/>
              <w:spacing w:line="256" w:lineRule="auto"/>
              <w:contextualSpacing/>
              <w:jc w:val="center"/>
              <w:outlineLvl w:val="0"/>
              <w:rPr>
                <w:rFonts w:eastAsia="Calibri" w:cs="Times New Roman"/>
                <w:b/>
                <w:bCs/>
              </w:rPr>
            </w:pPr>
            <w:r>
              <w:rPr>
                <w:rFonts w:eastAsia="Calibri" w:cs="Times New Roman"/>
                <w:b/>
                <w:bCs/>
              </w:rPr>
              <w:t xml:space="preserve">106 </w:t>
            </w:r>
          </w:p>
        </w:tc>
        <w:tc>
          <w:tcPr>
            <w:tcW w:w="1036" w:type="dxa"/>
            <w:shd w:val="clear" w:color="auto" w:fill="auto"/>
            <w:vAlign w:val="center"/>
          </w:tcPr>
          <w:p w:rsidR="00E444CB" w:rsidRPr="007D5CCB" w:rsidP="00E444CB">
            <w:pPr>
              <w:widowControl w:val="0"/>
              <w:spacing w:line="256" w:lineRule="auto"/>
              <w:contextualSpacing/>
              <w:jc w:val="center"/>
              <w:outlineLvl w:val="0"/>
              <w:rPr>
                <w:rFonts w:eastAsia="Calibri" w:cs="Times New Roman"/>
              </w:rPr>
            </w:pPr>
            <w:r w:rsidRPr="007D5CCB">
              <w:rPr>
                <w:rFonts w:ascii="Wingdings" w:eastAsia="Arial" w:hAnsi="Wingdings" w:cs="Times New Roman"/>
                <w:color w:val="00B050"/>
                <w:sz w:val="44"/>
              </w:rPr>
              <w:sym w:font="Wingdings" w:char="F0AB"/>
            </w:r>
          </w:p>
        </w:tc>
        <w:tc>
          <w:tcPr>
            <w:tcW w:w="1417" w:type="dxa"/>
            <w:shd w:val="clear" w:color="auto" w:fill="auto"/>
            <w:vAlign w:val="center"/>
          </w:tcPr>
          <w:p w:rsidR="00E444CB" w:rsidRPr="00530448" w:rsidP="00E444CB">
            <w:pPr>
              <w:widowControl w:val="0"/>
              <w:spacing w:line="256" w:lineRule="auto"/>
              <w:contextualSpacing/>
              <w:jc w:val="center"/>
              <w:outlineLvl w:val="0"/>
              <w:rPr>
                <w:rFonts w:eastAsia="Calibri" w:cs="Times New Roman"/>
                <w:sz w:val="20"/>
                <w:szCs w:val="20"/>
              </w:rPr>
            </w:pPr>
            <w:r w:rsidRPr="00AC39D2">
              <w:rPr>
                <w:rFonts w:eastAsia="Calibri" w:cs="Times New Roman"/>
                <w:color w:val="00B050"/>
              </w:rPr>
              <w:t>Better than Q3:2020/21</w:t>
            </w:r>
          </w:p>
        </w:tc>
      </w:tr>
      <w:tr w:rsidTr="00E444CB">
        <w:tblPrEx>
          <w:tblW w:w="11199" w:type="dxa"/>
          <w:tblInd w:w="-431"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rsidR="00E444CB" w:rsidRPr="007D5CCB" w:rsidP="00E444CB">
            <w:pPr>
              <w:widowControl w:val="0"/>
              <w:spacing w:line="256" w:lineRule="auto"/>
              <w:contextualSpacing/>
              <w:outlineLvl w:val="0"/>
              <w:rPr>
                <w:rFonts w:eastAsia="Calibri" w:cs="Times New Roman"/>
              </w:rPr>
            </w:pPr>
            <w:r w:rsidRPr="007D5CCB">
              <w:rPr>
                <w:rFonts w:eastAsia="Calibri" w:cs="Times New Roman"/>
              </w:rPr>
              <w:t xml:space="preserve">% planning applications decided within 13 </w:t>
            </w:r>
            <w:r w:rsidRPr="007D5CCB">
              <w:rPr>
                <w:rFonts w:eastAsia="Calibri" w:cs="Times New Roman"/>
              </w:rPr>
              <w:t>weeks (major applications)</w:t>
            </w:r>
          </w:p>
        </w:tc>
        <w:tc>
          <w:tcPr>
            <w:tcW w:w="1134" w:type="dxa"/>
            <w:vAlign w:val="center"/>
          </w:tcPr>
          <w:p w:rsidR="00E444CB" w:rsidRPr="007D5CCB" w:rsidP="00E444CB">
            <w:pPr>
              <w:widowControl w:val="0"/>
              <w:spacing w:line="256" w:lineRule="auto"/>
              <w:contextualSpacing/>
              <w:jc w:val="center"/>
              <w:outlineLvl w:val="0"/>
              <w:rPr>
                <w:rFonts w:eastAsia="Calibri" w:cs="Times New Roman"/>
              </w:rPr>
            </w:pPr>
            <w:r w:rsidRPr="007D5CCB">
              <w:rPr>
                <w:rFonts w:eastAsia="Calibri" w:cs="Times New Roman"/>
              </w:rPr>
              <w:t>Bigger is better</w:t>
            </w:r>
          </w:p>
        </w:tc>
        <w:tc>
          <w:tcPr>
            <w:tcW w:w="1276" w:type="dxa"/>
            <w:shd w:val="clear" w:color="auto" w:fill="auto"/>
            <w:vAlign w:val="center"/>
          </w:tcPr>
          <w:p w:rsidR="00E444CB" w:rsidRPr="007D5CCB" w:rsidP="00E444CB">
            <w:pPr>
              <w:widowControl w:val="0"/>
              <w:spacing w:line="256" w:lineRule="auto"/>
              <w:contextualSpacing/>
              <w:jc w:val="center"/>
              <w:outlineLvl w:val="0"/>
              <w:rPr>
                <w:rFonts w:eastAsia="Calibri" w:cs="Times New Roman"/>
              </w:rPr>
            </w:pPr>
            <w:r>
              <w:rPr>
                <w:rFonts w:eastAsia="Calibri" w:cs="Times New Roman"/>
              </w:rPr>
              <w:t>80</w:t>
            </w:r>
            <w:r w:rsidRPr="007D5CCB">
              <w:rPr>
                <w:rFonts w:eastAsia="Calibri" w:cs="Times New Roman"/>
              </w:rPr>
              <w:t>%</w:t>
            </w:r>
          </w:p>
        </w:tc>
        <w:tc>
          <w:tcPr>
            <w:tcW w:w="1559" w:type="dxa"/>
            <w:vAlign w:val="center"/>
          </w:tcPr>
          <w:p w:rsidR="00E444CB" w:rsidRPr="007D5CCB" w:rsidP="00E444CB">
            <w:pPr>
              <w:widowControl w:val="0"/>
              <w:spacing w:line="256" w:lineRule="auto"/>
              <w:contextualSpacing/>
              <w:jc w:val="center"/>
              <w:outlineLvl w:val="0"/>
              <w:rPr>
                <w:rFonts w:eastAsia="Calibri" w:cs="Times New Roman"/>
              </w:rPr>
            </w:pPr>
            <w:r w:rsidRPr="007D5CCB">
              <w:rPr>
                <w:rFonts w:eastAsia="Calibri" w:cs="Times New Roman"/>
              </w:rPr>
              <w:t>100</w:t>
            </w:r>
            <w:r>
              <w:rPr>
                <w:rFonts w:eastAsia="Calibri" w:cs="Times New Roman"/>
              </w:rPr>
              <w:t>%</w:t>
            </w:r>
          </w:p>
          <w:p w:rsidR="00E444CB" w:rsidRPr="007D5CCB" w:rsidP="00E444CB">
            <w:pPr>
              <w:widowControl w:val="0"/>
              <w:spacing w:line="256" w:lineRule="auto"/>
              <w:contextualSpacing/>
              <w:jc w:val="center"/>
              <w:outlineLvl w:val="0"/>
              <w:rPr>
                <w:rFonts w:eastAsia="Calibri" w:cs="Times New Roman"/>
              </w:rPr>
            </w:pPr>
            <w:r w:rsidRPr="007D5CCB">
              <w:rPr>
                <w:rFonts w:eastAsia="Calibri" w:cs="Times New Roman"/>
              </w:rPr>
              <w:t>(Q2:2021/22)</w:t>
            </w:r>
          </w:p>
        </w:tc>
        <w:tc>
          <w:tcPr>
            <w:tcW w:w="1418" w:type="dxa"/>
            <w:shd w:val="clear" w:color="auto" w:fill="F2F2F2" w:themeFill="background1" w:themeFillShade="F2"/>
            <w:vAlign w:val="center"/>
          </w:tcPr>
          <w:p w:rsidR="00E444CB" w:rsidRPr="007D5CCB" w:rsidP="00E444CB">
            <w:pPr>
              <w:widowControl w:val="0"/>
              <w:spacing w:line="256" w:lineRule="auto"/>
              <w:contextualSpacing/>
              <w:jc w:val="center"/>
              <w:outlineLvl w:val="0"/>
              <w:rPr>
                <w:rFonts w:eastAsia="Calibri" w:cs="Times New Roman"/>
                <w:b/>
                <w:bCs/>
              </w:rPr>
            </w:pPr>
            <w:r>
              <w:rPr>
                <w:rFonts w:eastAsia="Calibri" w:cs="Times New Roman"/>
                <w:b/>
                <w:bCs/>
              </w:rPr>
              <w:t>100%</w:t>
            </w:r>
          </w:p>
        </w:tc>
        <w:tc>
          <w:tcPr>
            <w:tcW w:w="1036" w:type="dxa"/>
            <w:vAlign w:val="center"/>
          </w:tcPr>
          <w:p w:rsidR="00E444CB" w:rsidRPr="007D5CCB" w:rsidP="00E444CB">
            <w:pPr>
              <w:widowControl w:val="0"/>
              <w:spacing w:line="256" w:lineRule="auto"/>
              <w:contextualSpacing/>
              <w:jc w:val="center"/>
              <w:outlineLvl w:val="0"/>
              <w:rPr>
                <w:rFonts w:eastAsia="Calibri" w:cs="Times New Roman"/>
              </w:rPr>
            </w:pPr>
            <w:r w:rsidRPr="007D5CCB">
              <w:rPr>
                <w:rFonts w:ascii="Wingdings" w:eastAsia="Arial" w:hAnsi="Wingdings" w:cs="Times New Roman"/>
                <w:color w:val="00B050"/>
                <w:sz w:val="44"/>
              </w:rPr>
              <w:sym w:font="Wingdings" w:char="F0AB"/>
            </w:r>
          </w:p>
        </w:tc>
        <w:tc>
          <w:tcPr>
            <w:tcW w:w="1417" w:type="dxa"/>
            <w:vAlign w:val="center"/>
          </w:tcPr>
          <w:p w:rsidR="00E444CB" w:rsidRPr="00530448" w:rsidP="00E444CB">
            <w:pPr>
              <w:widowControl w:val="0"/>
              <w:spacing w:line="256" w:lineRule="auto"/>
              <w:contextualSpacing/>
              <w:jc w:val="center"/>
              <w:outlineLvl w:val="0"/>
              <w:rPr>
                <w:rFonts w:eastAsia="Calibri" w:cs="Times New Roman"/>
                <w:sz w:val="20"/>
                <w:szCs w:val="20"/>
              </w:rPr>
            </w:pPr>
            <w:r w:rsidRPr="00AC39D2">
              <w:rPr>
                <w:rFonts w:eastAsia="Calibri" w:cs="Times New Roman"/>
                <w:color w:val="00B050"/>
              </w:rPr>
              <w:t>Better than Q3:2020/21</w:t>
            </w:r>
          </w:p>
        </w:tc>
      </w:tr>
      <w:tr w:rsidTr="00E444CB">
        <w:tblPrEx>
          <w:tblW w:w="11199" w:type="dxa"/>
          <w:tblInd w:w="-431"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rsidR="00E444CB" w:rsidRPr="006B0012" w:rsidP="00E444CB">
            <w:pPr>
              <w:widowControl w:val="0"/>
              <w:spacing w:line="256" w:lineRule="auto"/>
              <w:contextualSpacing/>
              <w:outlineLvl w:val="0"/>
              <w:rPr>
                <w:rFonts w:eastAsia="Calibri" w:cs="Times New Roman"/>
              </w:rPr>
            </w:pPr>
            <w:r w:rsidRPr="006B0012">
              <w:rPr>
                <w:rFonts w:eastAsia="Calibri" w:cs="Times New Roman"/>
              </w:rPr>
              <w:t>% planning applications decided within 8 weeks (minor / other applications)</w:t>
            </w:r>
          </w:p>
        </w:tc>
        <w:tc>
          <w:tcPr>
            <w:tcW w:w="1134" w:type="dxa"/>
            <w:vAlign w:val="center"/>
          </w:tcPr>
          <w:p w:rsidR="00E444CB" w:rsidRPr="006B0012" w:rsidP="00E444CB">
            <w:pPr>
              <w:widowControl w:val="0"/>
              <w:spacing w:line="256" w:lineRule="auto"/>
              <w:contextualSpacing/>
              <w:jc w:val="center"/>
              <w:outlineLvl w:val="0"/>
              <w:rPr>
                <w:rFonts w:eastAsia="Calibri" w:cs="Times New Roman"/>
              </w:rPr>
            </w:pPr>
            <w:r w:rsidRPr="006B0012">
              <w:rPr>
                <w:rFonts w:eastAsia="Calibri" w:cs="Times New Roman"/>
              </w:rPr>
              <w:t>Bigger is better</w:t>
            </w:r>
          </w:p>
        </w:tc>
        <w:tc>
          <w:tcPr>
            <w:tcW w:w="1276" w:type="dxa"/>
            <w:shd w:val="clear" w:color="auto" w:fill="auto"/>
            <w:vAlign w:val="center"/>
          </w:tcPr>
          <w:p w:rsidR="00E444CB" w:rsidRPr="006B0012" w:rsidP="00E444CB">
            <w:pPr>
              <w:widowControl w:val="0"/>
              <w:spacing w:line="256" w:lineRule="auto"/>
              <w:contextualSpacing/>
              <w:jc w:val="center"/>
              <w:outlineLvl w:val="0"/>
              <w:rPr>
                <w:rFonts w:eastAsia="Calibri" w:cs="Times New Roman"/>
              </w:rPr>
            </w:pPr>
            <w:r w:rsidRPr="006B0012">
              <w:rPr>
                <w:rFonts w:eastAsia="Calibri" w:cs="Times New Roman"/>
              </w:rPr>
              <w:t>85%</w:t>
            </w:r>
          </w:p>
        </w:tc>
        <w:tc>
          <w:tcPr>
            <w:tcW w:w="1559" w:type="dxa"/>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84.1</w:t>
            </w:r>
          </w:p>
          <w:p w:rsidR="00E444CB" w:rsidRPr="006B0012" w:rsidP="00E444CB">
            <w:pPr>
              <w:widowControl w:val="0"/>
              <w:spacing w:line="256" w:lineRule="auto"/>
              <w:contextualSpacing/>
              <w:jc w:val="center"/>
              <w:outlineLvl w:val="0"/>
              <w:rPr>
                <w:rFonts w:eastAsia="Calibri" w:cs="Times New Roman"/>
              </w:rPr>
            </w:pPr>
            <w:r w:rsidRPr="007D5CCB">
              <w:rPr>
                <w:rFonts w:eastAsia="Calibri" w:cs="Times New Roman"/>
              </w:rPr>
              <w:t>(Q2:2021/22)</w:t>
            </w:r>
          </w:p>
        </w:tc>
        <w:tc>
          <w:tcPr>
            <w:tcW w:w="1418" w:type="dxa"/>
            <w:shd w:val="clear" w:color="auto" w:fill="F2F2F2" w:themeFill="background1" w:themeFillShade="F2"/>
            <w:vAlign w:val="center"/>
          </w:tcPr>
          <w:p w:rsidR="00E444CB" w:rsidRPr="006B0012" w:rsidP="00E444CB">
            <w:pPr>
              <w:widowControl w:val="0"/>
              <w:spacing w:line="256" w:lineRule="auto"/>
              <w:contextualSpacing/>
              <w:jc w:val="center"/>
              <w:outlineLvl w:val="0"/>
              <w:rPr>
                <w:rFonts w:eastAsia="Calibri" w:cs="Times New Roman"/>
                <w:b/>
                <w:bCs/>
              </w:rPr>
            </w:pPr>
            <w:r>
              <w:rPr>
                <w:rFonts w:eastAsia="Calibri" w:cs="Times New Roman"/>
                <w:b/>
                <w:bCs/>
              </w:rPr>
              <w:t>93.3%</w:t>
            </w:r>
          </w:p>
        </w:tc>
        <w:tc>
          <w:tcPr>
            <w:tcW w:w="1036" w:type="dxa"/>
            <w:vAlign w:val="center"/>
          </w:tcPr>
          <w:p w:rsidR="00E444CB" w:rsidRPr="006B0012" w:rsidP="00E444CB">
            <w:pPr>
              <w:widowControl w:val="0"/>
              <w:spacing w:line="256" w:lineRule="auto"/>
              <w:contextualSpacing/>
              <w:jc w:val="center"/>
              <w:outlineLvl w:val="0"/>
              <w:rPr>
                <w:rFonts w:eastAsia="Calibri" w:cs="Times New Roman"/>
              </w:rPr>
            </w:pPr>
            <w:r w:rsidRPr="007D5CCB">
              <w:rPr>
                <w:rFonts w:ascii="Wingdings" w:eastAsia="Arial" w:hAnsi="Wingdings" w:cs="Times New Roman"/>
                <w:color w:val="00B050"/>
                <w:sz w:val="44"/>
              </w:rPr>
              <w:sym w:font="Wingdings" w:char="F0AB"/>
            </w:r>
          </w:p>
        </w:tc>
        <w:tc>
          <w:tcPr>
            <w:tcW w:w="1417" w:type="dxa"/>
            <w:vAlign w:val="center"/>
          </w:tcPr>
          <w:p w:rsidR="00E444CB" w:rsidRPr="00530448" w:rsidP="00E444CB">
            <w:pPr>
              <w:widowControl w:val="0"/>
              <w:spacing w:line="256" w:lineRule="auto"/>
              <w:contextualSpacing/>
              <w:jc w:val="center"/>
              <w:outlineLvl w:val="0"/>
              <w:rPr>
                <w:rFonts w:eastAsia="Calibri" w:cs="Times New Roman"/>
                <w:sz w:val="20"/>
                <w:szCs w:val="20"/>
              </w:rPr>
            </w:pPr>
            <w:r w:rsidRPr="00AC39D2">
              <w:rPr>
                <w:rFonts w:eastAsia="Calibri" w:cs="Times New Roman"/>
                <w:color w:val="00B050"/>
              </w:rPr>
              <w:t>Better than Q3:2020/21</w:t>
            </w:r>
          </w:p>
        </w:tc>
      </w:tr>
      <w:tr w:rsidTr="00E444CB">
        <w:tblPrEx>
          <w:tblW w:w="11199" w:type="dxa"/>
          <w:tblInd w:w="-431"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auto" w:fill="auto"/>
            <w:vAlign w:val="center"/>
          </w:tcPr>
          <w:p w:rsidR="00E444CB" w:rsidRPr="006B0012" w:rsidP="00E444CB">
            <w:pPr>
              <w:widowControl w:val="0"/>
              <w:spacing w:line="256" w:lineRule="auto"/>
              <w:contextualSpacing/>
              <w:outlineLvl w:val="0"/>
              <w:rPr>
                <w:rFonts w:eastAsia="Calibri" w:cs="Times New Roman"/>
              </w:rPr>
            </w:pPr>
            <w:r w:rsidRPr="006B0012">
              <w:rPr>
                <w:rFonts w:eastAsia="Calibri" w:cs="Times New Roman"/>
              </w:rPr>
              <w:t xml:space="preserve">% of </w:t>
            </w:r>
            <w:r w:rsidRPr="006B0012">
              <w:rPr>
                <w:rFonts w:eastAsia="Calibri" w:cs="Times New Roman"/>
              </w:rPr>
              <w:t>telephone calls answered within 90 seconds</w:t>
            </w:r>
          </w:p>
        </w:tc>
        <w:tc>
          <w:tcPr>
            <w:tcW w:w="1134" w:type="dxa"/>
            <w:shd w:val="clear" w:color="auto" w:fill="auto"/>
            <w:vAlign w:val="center"/>
          </w:tcPr>
          <w:p w:rsidR="00E444CB" w:rsidRPr="006B0012" w:rsidP="00E444CB">
            <w:pPr>
              <w:widowControl w:val="0"/>
              <w:spacing w:line="256" w:lineRule="auto"/>
              <w:contextualSpacing/>
              <w:jc w:val="center"/>
              <w:outlineLvl w:val="0"/>
              <w:rPr>
                <w:rFonts w:eastAsia="Calibri" w:cs="Times New Roman"/>
              </w:rPr>
            </w:pPr>
            <w:r w:rsidRPr="006B0012">
              <w:rPr>
                <w:rFonts w:eastAsia="Calibri" w:cs="Times New Roman"/>
              </w:rPr>
              <w:t>Bigger is better</w:t>
            </w:r>
          </w:p>
        </w:tc>
        <w:tc>
          <w:tcPr>
            <w:tcW w:w="1276" w:type="dxa"/>
            <w:shd w:val="clear" w:color="auto" w:fill="auto"/>
            <w:vAlign w:val="center"/>
          </w:tcPr>
          <w:p w:rsidR="00E444CB" w:rsidRPr="006B0012" w:rsidP="00E444CB">
            <w:pPr>
              <w:widowControl w:val="0"/>
              <w:spacing w:line="256" w:lineRule="auto"/>
              <w:contextualSpacing/>
              <w:jc w:val="center"/>
              <w:outlineLvl w:val="0"/>
              <w:rPr>
                <w:rFonts w:eastAsia="Calibri" w:cs="Times New Roman"/>
              </w:rPr>
            </w:pPr>
            <w:r w:rsidRPr="006B0012">
              <w:rPr>
                <w:rFonts w:eastAsia="Calibri" w:cs="Times New Roman"/>
              </w:rPr>
              <w:t>40%</w:t>
            </w:r>
          </w:p>
        </w:tc>
        <w:tc>
          <w:tcPr>
            <w:tcW w:w="1559" w:type="dxa"/>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62.4%</w:t>
            </w:r>
          </w:p>
          <w:p w:rsidR="00E444CB" w:rsidRPr="006B0012" w:rsidP="00E444CB">
            <w:pPr>
              <w:widowControl w:val="0"/>
              <w:spacing w:line="256" w:lineRule="auto"/>
              <w:contextualSpacing/>
              <w:jc w:val="center"/>
              <w:outlineLvl w:val="0"/>
              <w:rPr>
                <w:rFonts w:eastAsia="Calibri" w:cs="Times New Roman"/>
              </w:rPr>
            </w:pPr>
            <w:r w:rsidRPr="007D5CCB">
              <w:rPr>
                <w:rFonts w:eastAsia="Calibri" w:cs="Times New Roman"/>
              </w:rPr>
              <w:t>(Q2:2021/22)</w:t>
            </w:r>
          </w:p>
        </w:tc>
        <w:tc>
          <w:tcPr>
            <w:tcW w:w="1418" w:type="dxa"/>
            <w:shd w:val="clear" w:color="auto" w:fill="F2F2F2" w:themeFill="background1" w:themeFillShade="F2"/>
            <w:vAlign w:val="center"/>
          </w:tcPr>
          <w:p w:rsidR="00E444CB" w:rsidRPr="006B0012" w:rsidP="00E444CB">
            <w:pPr>
              <w:widowControl w:val="0"/>
              <w:spacing w:line="256" w:lineRule="auto"/>
              <w:contextualSpacing/>
              <w:jc w:val="center"/>
              <w:outlineLvl w:val="0"/>
              <w:rPr>
                <w:rFonts w:eastAsia="Calibri" w:cs="Times New Roman"/>
                <w:b/>
                <w:bCs/>
              </w:rPr>
            </w:pPr>
            <w:r>
              <w:rPr>
                <w:rFonts w:eastAsia="Calibri" w:cs="Times New Roman"/>
                <w:b/>
                <w:bCs/>
              </w:rPr>
              <w:t>62.9%</w:t>
            </w:r>
          </w:p>
        </w:tc>
        <w:tc>
          <w:tcPr>
            <w:tcW w:w="1036" w:type="dxa"/>
            <w:shd w:val="clear" w:color="auto" w:fill="auto"/>
            <w:vAlign w:val="center"/>
          </w:tcPr>
          <w:p w:rsidR="00E444CB" w:rsidRPr="006B0012" w:rsidP="00E444CB">
            <w:pPr>
              <w:widowControl w:val="0"/>
              <w:spacing w:line="256" w:lineRule="auto"/>
              <w:contextualSpacing/>
              <w:jc w:val="center"/>
              <w:outlineLvl w:val="0"/>
              <w:rPr>
                <w:rFonts w:eastAsia="Calibri" w:cs="Times New Roman"/>
              </w:rPr>
            </w:pPr>
            <w:r w:rsidRPr="006B0012">
              <w:rPr>
                <w:rFonts w:ascii="Wingdings" w:eastAsia="Arial" w:hAnsi="Wingdings" w:cs="Times New Roman"/>
                <w:color w:val="00B050"/>
                <w:sz w:val="44"/>
              </w:rPr>
              <w:sym w:font="Wingdings" w:char="F0AB"/>
            </w:r>
          </w:p>
        </w:tc>
        <w:tc>
          <w:tcPr>
            <w:tcW w:w="1417" w:type="dxa"/>
            <w:vAlign w:val="center"/>
          </w:tcPr>
          <w:p w:rsidR="00E444CB" w:rsidRPr="00530448" w:rsidP="00E444CB">
            <w:pPr>
              <w:widowControl w:val="0"/>
              <w:spacing w:line="256" w:lineRule="auto"/>
              <w:contextualSpacing/>
              <w:jc w:val="center"/>
              <w:outlineLvl w:val="0"/>
              <w:rPr>
                <w:rFonts w:eastAsia="Calibri" w:cs="Times New Roman"/>
                <w:sz w:val="20"/>
                <w:szCs w:val="20"/>
              </w:rPr>
            </w:pPr>
            <w:r w:rsidRPr="00AC39D2">
              <w:rPr>
                <w:rFonts w:eastAsia="Calibri" w:cs="Times New Roman"/>
                <w:color w:val="FF0000"/>
              </w:rPr>
              <w:t>Worse than Q3:2020/21</w:t>
            </w:r>
          </w:p>
        </w:tc>
      </w:tr>
      <w:tr w:rsidTr="00E444CB">
        <w:tblPrEx>
          <w:tblW w:w="11199" w:type="dxa"/>
          <w:tblInd w:w="-431"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auto" w:fill="auto"/>
            <w:vAlign w:val="center"/>
          </w:tcPr>
          <w:p w:rsidR="00E444CB" w:rsidRPr="006B0012" w:rsidP="00E444CB">
            <w:pPr>
              <w:widowControl w:val="0"/>
              <w:spacing w:line="256" w:lineRule="auto"/>
              <w:contextualSpacing/>
              <w:outlineLvl w:val="0"/>
              <w:rPr>
                <w:rFonts w:eastAsia="Calibri" w:cs="Times New Roman"/>
              </w:rPr>
            </w:pPr>
            <w:r w:rsidRPr="006B0012">
              <w:rPr>
                <w:rFonts w:eastAsia="Calibri" w:cs="Times New Roman"/>
              </w:rPr>
              <w:t>% of calls abandoned before being answered in a quarter</w:t>
            </w:r>
          </w:p>
        </w:tc>
        <w:tc>
          <w:tcPr>
            <w:tcW w:w="1134" w:type="dxa"/>
            <w:shd w:val="clear" w:color="auto" w:fill="auto"/>
            <w:vAlign w:val="center"/>
          </w:tcPr>
          <w:p w:rsidR="00E444CB" w:rsidRPr="006B0012" w:rsidP="00E444CB">
            <w:pPr>
              <w:widowControl w:val="0"/>
              <w:spacing w:line="256" w:lineRule="auto"/>
              <w:contextualSpacing/>
              <w:jc w:val="center"/>
              <w:outlineLvl w:val="0"/>
              <w:rPr>
                <w:rFonts w:eastAsia="Calibri" w:cs="Times New Roman"/>
              </w:rPr>
            </w:pPr>
            <w:r w:rsidRPr="006B0012">
              <w:rPr>
                <w:rFonts w:eastAsia="Calibri" w:cs="Times New Roman"/>
              </w:rPr>
              <w:t>Smaller is better</w:t>
            </w:r>
          </w:p>
        </w:tc>
        <w:tc>
          <w:tcPr>
            <w:tcW w:w="1276" w:type="dxa"/>
            <w:shd w:val="clear" w:color="auto" w:fill="auto"/>
            <w:vAlign w:val="center"/>
          </w:tcPr>
          <w:p w:rsidR="00E444CB" w:rsidRPr="006B0012" w:rsidP="00E444CB">
            <w:pPr>
              <w:widowControl w:val="0"/>
              <w:spacing w:line="256" w:lineRule="auto"/>
              <w:contextualSpacing/>
              <w:jc w:val="center"/>
              <w:outlineLvl w:val="0"/>
              <w:rPr>
                <w:rFonts w:eastAsia="Calibri" w:cs="Times New Roman"/>
              </w:rPr>
            </w:pPr>
            <w:r w:rsidRPr="006B0012">
              <w:rPr>
                <w:rFonts w:eastAsia="Calibri" w:cs="Times New Roman"/>
              </w:rPr>
              <w:t>15%</w:t>
            </w:r>
          </w:p>
        </w:tc>
        <w:tc>
          <w:tcPr>
            <w:tcW w:w="1559" w:type="dxa"/>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9.9%</w:t>
            </w:r>
          </w:p>
          <w:p w:rsidR="00E444CB" w:rsidRPr="006B0012" w:rsidP="00E444CB">
            <w:pPr>
              <w:widowControl w:val="0"/>
              <w:spacing w:line="256" w:lineRule="auto"/>
              <w:contextualSpacing/>
              <w:jc w:val="center"/>
              <w:outlineLvl w:val="0"/>
              <w:rPr>
                <w:rFonts w:eastAsia="Calibri" w:cs="Times New Roman"/>
              </w:rPr>
            </w:pPr>
            <w:r w:rsidRPr="007D5CCB">
              <w:rPr>
                <w:rFonts w:eastAsia="Calibri" w:cs="Times New Roman"/>
              </w:rPr>
              <w:t>(Q2:2021/22)</w:t>
            </w:r>
          </w:p>
        </w:tc>
        <w:tc>
          <w:tcPr>
            <w:tcW w:w="1418" w:type="dxa"/>
            <w:shd w:val="clear" w:color="auto" w:fill="F2F2F2" w:themeFill="background1" w:themeFillShade="F2"/>
            <w:vAlign w:val="center"/>
          </w:tcPr>
          <w:p w:rsidR="00E444CB" w:rsidRPr="006B0012" w:rsidP="00E444CB">
            <w:pPr>
              <w:widowControl w:val="0"/>
              <w:spacing w:line="256" w:lineRule="auto"/>
              <w:contextualSpacing/>
              <w:jc w:val="center"/>
              <w:outlineLvl w:val="0"/>
              <w:rPr>
                <w:rFonts w:eastAsia="Calibri" w:cs="Times New Roman"/>
                <w:b/>
                <w:bCs/>
              </w:rPr>
            </w:pPr>
            <w:r>
              <w:rPr>
                <w:rFonts w:eastAsia="Calibri" w:cs="Times New Roman"/>
                <w:b/>
                <w:bCs/>
              </w:rPr>
              <w:t>12.9%</w:t>
            </w:r>
          </w:p>
        </w:tc>
        <w:tc>
          <w:tcPr>
            <w:tcW w:w="1036" w:type="dxa"/>
            <w:shd w:val="clear" w:color="auto" w:fill="auto"/>
            <w:vAlign w:val="center"/>
          </w:tcPr>
          <w:p w:rsidR="00E444CB" w:rsidRPr="006B0012" w:rsidP="00E444CB">
            <w:pPr>
              <w:widowControl w:val="0"/>
              <w:spacing w:line="256" w:lineRule="auto"/>
              <w:contextualSpacing/>
              <w:jc w:val="center"/>
              <w:outlineLvl w:val="0"/>
              <w:rPr>
                <w:rFonts w:eastAsia="Calibri" w:cs="Times New Roman"/>
              </w:rPr>
            </w:pPr>
            <w:r w:rsidRPr="006B0012">
              <w:rPr>
                <w:rFonts w:ascii="Wingdings" w:eastAsia="Arial" w:hAnsi="Wingdings" w:cs="Times New Roman"/>
                <w:color w:val="00B050"/>
                <w:sz w:val="44"/>
              </w:rPr>
              <w:sym w:font="Wingdings" w:char="F0AB"/>
            </w:r>
          </w:p>
        </w:tc>
        <w:tc>
          <w:tcPr>
            <w:tcW w:w="1417" w:type="dxa"/>
            <w:vAlign w:val="center"/>
          </w:tcPr>
          <w:p w:rsidR="00E444CB" w:rsidRPr="00530448" w:rsidP="00E444CB">
            <w:pPr>
              <w:widowControl w:val="0"/>
              <w:spacing w:line="256" w:lineRule="auto"/>
              <w:contextualSpacing/>
              <w:jc w:val="center"/>
              <w:outlineLvl w:val="0"/>
              <w:rPr>
                <w:rFonts w:eastAsia="Calibri" w:cs="Times New Roman"/>
                <w:sz w:val="20"/>
                <w:szCs w:val="20"/>
              </w:rPr>
            </w:pPr>
            <w:r w:rsidRPr="00AC39D2">
              <w:rPr>
                <w:rFonts w:eastAsia="Calibri" w:cs="Times New Roman"/>
                <w:color w:val="FF0000"/>
              </w:rPr>
              <w:t>Worse than Q3:2020/21</w:t>
            </w:r>
          </w:p>
        </w:tc>
      </w:tr>
      <w:tr w:rsidTr="00E444CB">
        <w:tblPrEx>
          <w:tblW w:w="11199" w:type="dxa"/>
          <w:tblInd w:w="-431"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auto" w:fill="auto"/>
            <w:vAlign w:val="center"/>
          </w:tcPr>
          <w:p w:rsidR="00E444CB" w:rsidRPr="006B0012" w:rsidP="00E444CB">
            <w:pPr>
              <w:widowControl w:val="0"/>
              <w:spacing w:line="256" w:lineRule="auto"/>
              <w:contextualSpacing/>
              <w:outlineLvl w:val="0"/>
              <w:rPr>
                <w:rFonts w:eastAsia="Calibri" w:cs="Times New Roman"/>
              </w:rPr>
            </w:pPr>
            <w:r w:rsidRPr="006B0012">
              <w:rPr>
                <w:rFonts w:eastAsia="Calibri" w:cs="Times New Roman"/>
              </w:rPr>
              <w:t xml:space="preserve">Average </w:t>
            </w:r>
            <w:r w:rsidRPr="006B0012">
              <w:rPr>
                <w:rFonts w:eastAsia="Calibri" w:cs="Times New Roman"/>
              </w:rPr>
              <w:t>days to process a new housing benefit claim</w:t>
            </w:r>
          </w:p>
        </w:tc>
        <w:tc>
          <w:tcPr>
            <w:tcW w:w="1134" w:type="dxa"/>
            <w:shd w:val="clear" w:color="auto" w:fill="auto"/>
            <w:vAlign w:val="center"/>
          </w:tcPr>
          <w:p w:rsidR="00E444CB" w:rsidRPr="006B0012" w:rsidP="00E444CB">
            <w:pPr>
              <w:widowControl w:val="0"/>
              <w:spacing w:line="256" w:lineRule="auto"/>
              <w:contextualSpacing/>
              <w:jc w:val="center"/>
              <w:outlineLvl w:val="0"/>
              <w:rPr>
                <w:rFonts w:eastAsia="Calibri" w:cs="Times New Roman"/>
              </w:rPr>
            </w:pPr>
            <w:r w:rsidRPr="006B0012">
              <w:rPr>
                <w:rFonts w:eastAsia="Calibri" w:cs="Times New Roman"/>
              </w:rPr>
              <w:t>Smaller is better</w:t>
            </w:r>
          </w:p>
        </w:tc>
        <w:tc>
          <w:tcPr>
            <w:tcW w:w="1276" w:type="dxa"/>
            <w:shd w:val="clear" w:color="auto" w:fill="auto"/>
            <w:vAlign w:val="center"/>
          </w:tcPr>
          <w:p w:rsidR="00E444CB" w:rsidRPr="006B0012" w:rsidP="00E444CB">
            <w:pPr>
              <w:widowControl w:val="0"/>
              <w:spacing w:line="256" w:lineRule="auto"/>
              <w:contextualSpacing/>
              <w:jc w:val="center"/>
              <w:outlineLvl w:val="0"/>
              <w:rPr>
                <w:rFonts w:eastAsia="Calibri" w:cs="Times New Roman"/>
              </w:rPr>
            </w:pPr>
            <w:r>
              <w:rPr>
                <w:rFonts w:eastAsia="Calibri" w:cs="Times New Roman"/>
              </w:rPr>
              <w:t>16 Days</w:t>
            </w:r>
          </w:p>
        </w:tc>
        <w:tc>
          <w:tcPr>
            <w:tcW w:w="1559" w:type="dxa"/>
            <w:shd w:val="clear" w:color="auto" w:fill="auto"/>
            <w:vAlign w:val="center"/>
          </w:tcPr>
          <w:p w:rsidR="00E444CB" w:rsidP="00E444CB">
            <w:pPr>
              <w:widowControl w:val="0"/>
              <w:spacing w:line="256" w:lineRule="auto"/>
              <w:contextualSpacing/>
              <w:jc w:val="center"/>
              <w:outlineLvl w:val="0"/>
              <w:rPr>
                <w:rFonts w:eastAsia="Calibri" w:cs="Times New Roman"/>
              </w:rPr>
            </w:pPr>
            <w:r>
              <w:rPr>
                <w:rFonts w:eastAsia="Calibri" w:cs="Times New Roman"/>
              </w:rPr>
              <w:t>21.24 days</w:t>
            </w:r>
          </w:p>
        </w:tc>
        <w:tc>
          <w:tcPr>
            <w:tcW w:w="1418" w:type="dxa"/>
            <w:shd w:val="clear" w:color="auto" w:fill="F2F2F2" w:themeFill="background1" w:themeFillShade="F2"/>
            <w:vAlign w:val="center"/>
          </w:tcPr>
          <w:p w:rsidR="00E444CB" w:rsidP="00E444CB">
            <w:pPr>
              <w:widowControl w:val="0"/>
              <w:spacing w:line="256" w:lineRule="auto"/>
              <w:contextualSpacing/>
              <w:jc w:val="center"/>
              <w:outlineLvl w:val="0"/>
              <w:rPr>
                <w:rFonts w:eastAsia="Calibri" w:cs="Times New Roman"/>
                <w:b/>
                <w:bCs/>
              </w:rPr>
            </w:pPr>
            <w:r>
              <w:rPr>
                <w:rFonts w:eastAsia="Calibri" w:cs="Times New Roman"/>
                <w:b/>
                <w:bCs/>
              </w:rPr>
              <w:t xml:space="preserve">14.51 </w:t>
            </w:r>
          </w:p>
        </w:tc>
        <w:tc>
          <w:tcPr>
            <w:tcW w:w="1036" w:type="dxa"/>
            <w:shd w:val="clear" w:color="auto" w:fill="auto"/>
            <w:vAlign w:val="center"/>
          </w:tcPr>
          <w:p w:rsidR="00E444CB" w:rsidRPr="006B0012" w:rsidP="00E444CB">
            <w:pPr>
              <w:widowControl w:val="0"/>
              <w:spacing w:line="256" w:lineRule="auto"/>
              <w:contextualSpacing/>
              <w:jc w:val="center"/>
              <w:outlineLvl w:val="0"/>
              <w:rPr>
                <w:rFonts w:ascii="Wingdings" w:eastAsia="Arial" w:hAnsi="Wingdings" w:cs="Times New Roman"/>
                <w:color w:val="00B050"/>
                <w:sz w:val="44"/>
              </w:rPr>
            </w:pPr>
            <w:r w:rsidRPr="006B0012">
              <w:rPr>
                <w:rFonts w:ascii="Wingdings" w:eastAsia="Arial" w:hAnsi="Wingdings" w:cs="Times New Roman"/>
                <w:color w:val="00B050"/>
                <w:sz w:val="44"/>
              </w:rPr>
              <w:sym w:font="Wingdings" w:char="F0AB"/>
            </w:r>
          </w:p>
        </w:tc>
        <w:tc>
          <w:tcPr>
            <w:tcW w:w="1417" w:type="dxa"/>
            <w:vAlign w:val="center"/>
          </w:tcPr>
          <w:p w:rsidR="00E444CB" w:rsidRPr="00530448" w:rsidP="00E444CB">
            <w:pPr>
              <w:widowControl w:val="0"/>
              <w:spacing w:line="256" w:lineRule="auto"/>
              <w:contextualSpacing/>
              <w:jc w:val="center"/>
              <w:outlineLvl w:val="0"/>
              <w:rPr>
                <w:rFonts w:eastAsia="Calibri" w:cs="Times New Roman"/>
                <w:sz w:val="20"/>
                <w:szCs w:val="20"/>
              </w:rPr>
            </w:pPr>
            <w:r w:rsidRPr="00AC39D2">
              <w:rPr>
                <w:rFonts w:eastAsia="Calibri" w:cs="Times New Roman"/>
                <w:color w:val="00B050"/>
              </w:rPr>
              <w:t>Better than Q3:2020/21</w:t>
            </w:r>
          </w:p>
        </w:tc>
      </w:tr>
      <w:tr w:rsidTr="00E444CB">
        <w:tblPrEx>
          <w:tblW w:w="11199" w:type="dxa"/>
          <w:tblInd w:w="-431" w:type="dxa"/>
          <w:tblLayout w:type="fixed"/>
          <w:tblLook w:val="04A0"/>
        </w:tblPrEx>
        <w:trPr>
          <w:trHeight w:val="1079"/>
        </w:trPr>
        <w:tc>
          <w:tcPr>
            <w:tcW w:w="3359" w:type="dxa"/>
            <w:tcBorders>
              <w:top w:val="nil"/>
              <w:left w:val="single" w:sz="8" w:space="0" w:color="auto"/>
              <w:bottom w:val="single" w:sz="4" w:space="0" w:color="auto"/>
              <w:right w:val="single" w:sz="4" w:space="0" w:color="000000"/>
            </w:tcBorders>
            <w:shd w:val="clear" w:color="000000" w:fill="FFFFFF"/>
            <w:vAlign w:val="center"/>
          </w:tcPr>
          <w:p w:rsidR="00E444CB" w:rsidRPr="00D174FF" w:rsidP="00E444CB">
            <w:pPr>
              <w:widowControl w:val="0"/>
              <w:spacing w:line="256" w:lineRule="auto"/>
              <w:contextualSpacing/>
              <w:outlineLvl w:val="0"/>
              <w:rPr>
                <w:rFonts w:eastAsia="Calibri" w:cs="Times New Roman"/>
              </w:rPr>
            </w:pPr>
            <w:bookmarkStart w:id="23" w:name="_Hlk84604804"/>
            <w:r w:rsidRPr="00D174FF">
              <w:rPr>
                <w:rFonts w:eastAsia="Calibri" w:cs="Times New Roman"/>
              </w:rPr>
              <w:t>Percentage of Council Tax collected (Cumulative YTD)</w:t>
            </w:r>
          </w:p>
        </w:tc>
        <w:tc>
          <w:tcPr>
            <w:tcW w:w="1134" w:type="dxa"/>
            <w:vAlign w:val="center"/>
          </w:tcPr>
          <w:p w:rsidR="00E444CB" w:rsidRPr="00D174FF" w:rsidP="00E444CB">
            <w:pPr>
              <w:widowControl w:val="0"/>
              <w:spacing w:line="256" w:lineRule="auto"/>
              <w:contextualSpacing/>
              <w:jc w:val="center"/>
              <w:outlineLvl w:val="0"/>
              <w:rPr>
                <w:rFonts w:eastAsia="Calibri" w:cs="Times New Roman"/>
              </w:rPr>
            </w:pPr>
            <w:r w:rsidRPr="00D174FF">
              <w:rPr>
                <w:rFonts w:eastAsia="Calibri" w:cs="Times New Roman"/>
              </w:rPr>
              <w:t>Bigger is better</w:t>
            </w:r>
          </w:p>
        </w:tc>
        <w:tc>
          <w:tcPr>
            <w:tcW w:w="1276" w:type="dxa"/>
            <w:shd w:val="clear" w:color="auto" w:fill="auto"/>
            <w:vAlign w:val="center"/>
          </w:tcPr>
          <w:p w:rsidR="00E444CB" w:rsidRPr="00D174FF" w:rsidP="00E444CB">
            <w:pPr>
              <w:widowControl w:val="0"/>
              <w:spacing w:line="256" w:lineRule="auto"/>
              <w:contextualSpacing/>
              <w:jc w:val="center"/>
              <w:outlineLvl w:val="0"/>
              <w:rPr>
                <w:rFonts w:eastAsia="Calibri" w:cs="Times New Roman"/>
              </w:rPr>
            </w:pPr>
            <w:r w:rsidRPr="00D174FF">
              <w:rPr>
                <w:rFonts w:eastAsia="Calibri" w:cs="Times New Roman"/>
              </w:rPr>
              <w:t>84.64%</w:t>
            </w:r>
          </w:p>
        </w:tc>
        <w:tc>
          <w:tcPr>
            <w:tcW w:w="1559" w:type="dxa"/>
            <w:shd w:val="clear" w:color="auto" w:fill="auto"/>
            <w:vAlign w:val="center"/>
          </w:tcPr>
          <w:p w:rsidR="00E444CB" w:rsidRPr="00D174FF" w:rsidP="00E444CB">
            <w:pPr>
              <w:widowControl w:val="0"/>
              <w:spacing w:line="256" w:lineRule="auto"/>
              <w:contextualSpacing/>
              <w:jc w:val="center"/>
              <w:outlineLvl w:val="0"/>
              <w:rPr>
                <w:rFonts w:eastAsia="Calibri" w:cs="Times New Roman"/>
              </w:rPr>
            </w:pPr>
            <w:r w:rsidRPr="00D174FF">
              <w:rPr>
                <w:rFonts w:eastAsia="Calibri" w:cs="Times New Roman"/>
              </w:rPr>
              <w:t>56.5%</w:t>
            </w:r>
          </w:p>
          <w:p w:rsidR="00E444CB" w:rsidRPr="00D174FF" w:rsidP="00E444CB">
            <w:pPr>
              <w:widowControl w:val="0"/>
              <w:spacing w:line="256" w:lineRule="auto"/>
              <w:contextualSpacing/>
              <w:jc w:val="center"/>
              <w:outlineLvl w:val="0"/>
              <w:rPr>
                <w:rFonts w:eastAsia="Calibri" w:cs="Times New Roman"/>
              </w:rPr>
            </w:pPr>
            <w:r w:rsidRPr="00D174FF">
              <w:rPr>
                <w:rFonts w:eastAsia="Calibri" w:cs="Times New Roman"/>
              </w:rPr>
              <w:t>(Q2:2021/22)</w:t>
            </w:r>
          </w:p>
        </w:tc>
        <w:tc>
          <w:tcPr>
            <w:tcW w:w="1418" w:type="dxa"/>
            <w:shd w:val="clear" w:color="auto" w:fill="F2F2F2" w:themeFill="background1" w:themeFillShade="F2"/>
            <w:vAlign w:val="center"/>
          </w:tcPr>
          <w:p w:rsidR="00E444CB" w:rsidRPr="00D174FF" w:rsidP="00E444CB">
            <w:pPr>
              <w:widowControl w:val="0"/>
              <w:spacing w:line="256" w:lineRule="auto"/>
              <w:contextualSpacing/>
              <w:jc w:val="center"/>
              <w:outlineLvl w:val="0"/>
              <w:rPr>
                <w:rFonts w:eastAsia="Calibri" w:cs="Times New Roman"/>
                <w:b/>
                <w:bCs/>
              </w:rPr>
            </w:pPr>
            <w:r w:rsidRPr="00D174FF">
              <w:rPr>
                <w:rFonts w:eastAsia="Calibri" w:cs="Times New Roman"/>
                <w:b/>
                <w:bCs/>
              </w:rPr>
              <w:t>84.4</w:t>
            </w:r>
          </w:p>
        </w:tc>
        <w:tc>
          <w:tcPr>
            <w:tcW w:w="1036" w:type="dxa"/>
            <w:vAlign w:val="center"/>
          </w:tcPr>
          <w:p w:rsidR="00E444CB" w:rsidRPr="00D174FF" w:rsidP="00E444CB">
            <w:pPr>
              <w:widowControl w:val="0"/>
              <w:spacing w:line="256" w:lineRule="auto"/>
              <w:contextualSpacing/>
              <w:jc w:val="center"/>
              <w:outlineLvl w:val="0"/>
              <w:rPr>
                <w:rFonts w:eastAsia="Calibri" w:cs="Times New Roman"/>
                <w:color w:val="5B9BD5"/>
              </w:rPr>
            </w:pPr>
            <w:r w:rsidRPr="00D174FF">
              <w:rPr>
                <w:rFonts w:ascii="Wingdings" w:eastAsia="Arial" w:hAnsi="Wingdings" w:cs="Times New Roman"/>
                <w:color w:val="5B9BD5"/>
                <w:sz w:val="44"/>
              </w:rPr>
              <w:sym w:font="Wingdings" w:char="F06C"/>
            </w:r>
          </w:p>
        </w:tc>
        <w:tc>
          <w:tcPr>
            <w:tcW w:w="1417" w:type="dxa"/>
            <w:vAlign w:val="center"/>
          </w:tcPr>
          <w:p w:rsidR="00E444CB" w:rsidRPr="00530448" w:rsidP="00E444CB">
            <w:pPr>
              <w:widowControl w:val="0"/>
              <w:spacing w:line="256" w:lineRule="auto"/>
              <w:contextualSpacing/>
              <w:jc w:val="center"/>
              <w:outlineLvl w:val="0"/>
              <w:rPr>
                <w:rFonts w:eastAsia="Calibri" w:cs="Times New Roman"/>
                <w:sz w:val="20"/>
                <w:szCs w:val="20"/>
              </w:rPr>
            </w:pPr>
            <w:r w:rsidRPr="00BB3286">
              <w:rPr>
                <w:rFonts w:eastAsia="Calibri" w:cs="Times New Roman"/>
              </w:rPr>
              <w:t>Same as Q3:2020/21</w:t>
            </w:r>
          </w:p>
        </w:tc>
      </w:tr>
      <w:tr w:rsidTr="00E444CB">
        <w:tblPrEx>
          <w:tblW w:w="11199" w:type="dxa"/>
          <w:tblInd w:w="-431" w:type="dxa"/>
          <w:tblLayout w:type="fixed"/>
          <w:tblLook w:val="04A0"/>
        </w:tblPrEx>
        <w:trPr>
          <w:trHeight w:val="1079"/>
        </w:trPr>
        <w:tc>
          <w:tcPr>
            <w:tcW w:w="3359" w:type="dxa"/>
            <w:tcBorders>
              <w:top w:val="single" w:sz="4" w:space="0" w:color="auto"/>
              <w:left w:val="single" w:sz="4" w:space="0" w:color="auto"/>
              <w:bottom w:val="single" w:sz="4" w:space="0" w:color="auto"/>
              <w:right w:val="single" w:sz="4" w:space="0" w:color="auto"/>
            </w:tcBorders>
            <w:shd w:val="clear" w:color="000000" w:fill="FFFFFF"/>
            <w:vAlign w:val="center"/>
          </w:tcPr>
          <w:p w:rsidR="00E444CB" w:rsidRPr="00D174FF" w:rsidP="00E444CB">
            <w:pPr>
              <w:widowControl w:val="0"/>
              <w:spacing w:line="256" w:lineRule="auto"/>
              <w:contextualSpacing/>
              <w:outlineLvl w:val="0"/>
              <w:rPr>
                <w:rFonts w:eastAsia="Calibri" w:cs="Times New Roman"/>
              </w:rPr>
            </w:pPr>
            <w:r w:rsidRPr="00D174FF">
              <w:rPr>
                <w:rFonts w:eastAsia="Calibri" w:cs="Times New Roman"/>
              </w:rPr>
              <w:t>Percentage of Business Rates (Cumulative YTD)</w:t>
            </w:r>
          </w:p>
        </w:tc>
        <w:tc>
          <w:tcPr>
            <w:tcW w:w="1134" w:type="dxa"/>
            <w:vAlign w:val="center"/>
          </w:tcPr>
          <w:p w:rsidR="00E444CB" w:rsidRPr="00D174FF" w:rsidP="00E444CB">
            <w:pPr>
              <w:widowControl w:val="0"/>
              <w:spacing w:line="256" w:lineRule="auto"/>
              <w:contextualSpacing/>
              <w:jc w:val="center"/>
              <w:outlineLvl w:val="0"/>
              <w:rPr>
                <w:rFonts w:eastAsia="Calibri" w:cs="Times New Roman"/>
              </w:rPr>
            </w:pPr>
            <w:r w:rsidRPr="00D174FF">
              <w:rPr>
                <w:rFonts w:eastAsia="Calibri" w:cs="Times New Roman"/>
              </w:rPr>
              <w:t>Bigger is better</w:t>
            </w:r>
          </w:p>
        </w:tc>
        <w:tc>
          <w:tcPr>
            <w:tcW w:w="1276" w:type="dxa"/>
            <w:tcBorders>
              <w:left w:val="single" w:sz="4" w:space="0" w:color="auto"/>
            </w:tcBorders>
            <w:shd w:val="clear" w:color="auto" w:fill="auto"/>
            <w:vAlign w:val="center"/>
          </w:tcPr>
          <w:p w:rsidR="00E444CB" w:rsidRPr="00D174FF" w:rsidP="00E444CB">
            <w:pPr>
              <w:widowControl w:val="0"/>
              <w:spacing w:line="256" w:lineRule="auto"/>
              <w:contextualSpacing/>
              <w:jc w:val="center"/>
              <w:outlineLvl w:val="0"/>
              <w:rPr>
                <w:rFonts w:eastAsia="Calibri" w:cs="Times New Roman"/>
              </w:rPr>
            </w:pPr>
            <w:r w:rsidRPr="00D174FF">
              <w:rPr>
                <w:rFonts w:eastAsia="Calibri" w:cs="Times New Roman"/>
              </w:rPr>
              <w:t>80.79%</w:t>
            </w:r>
          </w:p>
        </w:tc>
        <w:tc>
          <w:tcPr>
            <w:tcW w:w="1559" w:type="dxa"/>
            <w:shd w:val="clear" w:color="auto" w:fill="auto"/>
            <w:vAlign w:val="center"/>
          </w:tcPr>
          <w:p w:rsidR="00E444CB" w:rsidRPr="00D174FF" w:rsidP="00E444CB">
            <w:pPr>
              <w:widowControl w:val="0"/>
              <w:spacing w:line="256" w:lineRule="auto"/>
              <w:contextualSpacing/>
              <w:jc w:val="center"/>
              <w:outlineLvl w:val="0"/>
              <w:rPr>
                <w:rFonts w:eastAsia="Calibri" w:cs="Times New Roman"/>
              </w:rPr>
            </w:pPr>
            <w:r w:rsidRPr="00D174FF">
              <w:rPr>
                <w:rFonts w:eastAsia="Calibri" w:cs="Times New Roman"/>
              </w:rPr>
              <w:t>51.97%</w:t>
            </w:r>
          </w:p>
          <w:p w:rsidR="00E444CB" w:rsidRPr="00D174FF" w:rsidP="00E444CB">
            <w:pPr>
              <w:widowControl w:val="0"/>
              <w:spacing w:line="256" w:lineRule="auto"/>
              <w:contextualSpacing/>
              <w:jc w:val="center"/>
              <w:outlineLvl w:val="0"/>
              <w:rPr>
                <w:rFonts w:eastAsia="Calibri" w:cs="Times New Roman"/>
              </w:rPr>
            </w:pPr>
            <w:r w:rsidRPr="00D174FF">
              <w:rPr>
                <w:rFonts w:eastAsia="Calibri" w:cs="Times New Roman"/>
              </w:rPr>
              <w:t>(Q2:2021/22)</w:t>
            </w:r>
          </w:p>
        </w:tc>
        <w:tc>
          <w:tcPr>
            <w:tcW w:w="1418" w:type="dxa"/>
            <w:shd w:val="clear" w:color="auto" w:fill="F2F2F2" w:themeFill="background1" w:themeFillShade="F2"/>
            <w:vAlign w:val="center"/>
          </w:tcPr>
          <w:p w:rsidR="00E444CB" w:rsidRPr="00D174FF" w:rsidP="00E444CB">
            <w:pPr>
              <w:widowControl w:val="0"/>
              <w:spacing w:line="256" w:lineRule="auto"/>
              <w:contextualSpacing/>
              <w:jc w:val="center"/>
              <w:outlineLvl w:val="0"/>
              <w:rPr>
                <w:rFonts w:eastAsia="Calibri" w:cs="Times New Roman"/>
                <w:b/>
                <w:bCs/>
              </w:rPr>
            </w:pPr>
            <w:r w:rsidRPr="00D174FF">
              <w:rPr>
                <w:rFonts w:eastAsia="Calibri" w:cs="Times New Roman"/>
                <w:b/>
                <w:bCs/>
              </w:rPr>
              <w:t>76.79%</w:t>
            </w:r>
          </w:p>
        </w:tc>
        <w:tc>
          <w:tcPr>
            <w:tcW w:w="1036" w:type="dxa"/>
            <w:vAlign w:val="center"/>
          </w:tcPr>
          <w:p w:rsidR="00E444CB" w:rsidRPr="00F12C84" w:rsidP="00E444CB">
            <w:pPr>
              <w:widowControl w:val="0"/>
              <w:spacing w:line="256" w:lineRule="auto"/>
              <w:contextualSpacing/>
              <w:jc w:val="center"/>
              <w:outlineLvl w:val="0"/>
              <w:rPr>
                <w:rFonts w:eastAsia="Calibri" w:cs="Times New Roman"/>
                <w:color w:val="5B9BD5"/>
              </w:rPr>
            </w:pPr>
            <w:r w:rsidRPr="00D174FF">
              <w:rPr>
                <w:rFonts w:ascii="Wingdings" w:eastAsia="Arial" w:hAnsi="Wingdings" w:cs="Times New Roman"/>
                <w:color w:val="5B9BD5"/>
                <w:sz w:val="44"/>
              </w:rPr>
              <w:sym w:font="Wingdings" w:char="F06C"/>
            </w:r>
          </w:p>
        </w:tc>
        <w:tc>
          <w:tcPr>
            <w:tcW w:w="1417" w:type="dxa"/>
            <w:vAlign w:val="center"/>
          </w:tcPr>
          <w:p w:rsidR="00E444CB" w:rsidRPr="00530448" w:rsidP="00E444CB">
            <w:pPr>
              <w:widowControl w:val="0"/>
              <w:spacing w:line="256" w:lineRule="auto"/>
              <w:contextualSpacing/>
              <w:jc w:val="center"/>
              <w:outlineLvl w:val="0"/>
              <w:rPr>
                <w:rFonts w:eastAsia="Calibri" w:cs="Times New Roman"/>
                <w:sz w:val="20"/>
                <w:szCs w:val="20"/>
              </w:rPr>
            </w:pPr>
            <w:r w:rsidRPr="00AC39D2">
              <w:rPr>
                <w:rFonts w:eastAsia="Calibri" w:cs="Times New Roman"/>
                <w:color w:val="FF0000"/>
              </w:rPr>
              <w:t>Worse than Q3:2020/21</w:t>
            </w:r>
          </w:p>
        </w:tc>
      </w:tr>
    </w:tbl>
    <w:p w:rsidR="00E444CB" w:rsidP="00E444CB">
      <w:pPr>
        <w:pStyle w:val="Heading2"/>
        <w:spacing w:before="0" w:beforeAutospacing="0"/>
        <w:ind w:left="-426"/>
        <w:rPr>
          <w:rFonts w:asciiTheme="majorHAnsi" w:hAnsiTheme="majorHAnsi" w:cstheme="majorHAnsi"/>
          <w:sz w:val="22"/>
          <w:szCs w:val="22"/>
        </w:rPr>
      </w:pPr>
      <w:bookmarkEnd w:id="18"/>
      <w:bookmarkEnd w:id="20"/>
      <w:bookmarkEnd w:id="23"/>
      <w:r>
        <w:rPr>
          <w:rFonts w:asciiTheme="majorHAnsi" w:hAnsiTheme="majorHAnsi" w:cstheme="majorHAnsi"/>
          <w:sz w:val="22"/>
          <w:szCs w:val="22"/>
        </w:rPr>
        <w:br w:type="page"/>
      </w:r>
    </w:p>
    <w:p w:rsidR="00E444CB" w:rsidP="00E444CB">
      <w:pPr>
        <w:pStyle w:val="Heading2"/>
        <w:spacing w:before="0" w:beforeAutospacing="0"/>
        <w:ind w:left="-426"/>
        <w:rPr>
          <w:rFonts w:asciiTheme="majorHAnsi" w:hAnsiTheme="majorHAnsi" w:cstheme="majorHAnsi"/>
          <w:sz w:val="22"/>
          <w:szCs w:val="22"/>
        </w:rPr>
      </w:pPr>
      <w:r w:rsidRPr="00776FBD">
        <w:rPr>
          <w:rFonts w:asciiTheme="majorHAnsi" w:hAnsiTheme="majorHAnsi" w:cstheme="majorHAnsi"/>
          <w:sz w:val="22"/>
          <w:szCs w:val="22"/>
        </w:rPr>
        <w:t xml:space="preserve">Appendix </w:t>
      </w:r>
      <w:r>
        <w:rPr>
          <w:rFonts w:asciiTheme="majorHAnsi" w:hAnsiTheme="majorHAnsi" w:cstheme="majorHAnsi"/>
          <w:sz w:val="22"/>
          <w:szCs w:val="22"/>
        </w:rPr>
        <w:t>3</w:t>
      </w:r>
      <w:r w:rsidRPr="00776FBD">
        <w:rPr>
          <w:rFonts w:asciiTheme="majorHAnsi" w:hAnsiTheme="majorHAnsi" w:cstheme="majorHAnsi"/>
          <w:sz w:val="22"/>
          <w:szCs w:val="22"/>
        </w:rPr>
        <w:t xml:space="preserve">: Status of the 2020/21 Corporate Strategy </w:t>
      </w:r>
      <w:r>
        <w:rPr>
          <w:rFonts w:asciiTheme="majorHAnsi" w:hAnsiTheme="majorHAnsi" w:cstheme="majorHAnsi"/>
          <w:sz w:val="22"/>
          <w:szCs w:val="22"/>
        </w:rPr>
        <w:t>p</w:t>
      </w:r>
      <w:r w:rsidRPr="00776FBD">
        <w:rPr>
          <w:rFonts w:asciiTheme="majorHAnsi" w:hAnsiTheme="majorHAnsi" w:cstheme="majorHAnsi"/>
          <w:sz w:val="22"/>
          <w:szCs w:val="22"/>
        </w:rPr>
        <w:t>rojects</w:t>
      </w:r>
    </w:p>
    <w:tbl>
      <w:tblPr>
        <w:tblW w:w="11199"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tblPr>
      <w:tblGrid>
        <w:gridCol w:w="4046"/>
        <w:gridCol w:w="7153"/>
      </w:tblGrid>
      <w:tr w:rsidTr="00E444CB">
        <w:tblPrEx>
          <w:tblW w:w="11199"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000"/>
        </w:tblPrEx>
        <w:trPr>
          <w:trHeight w:val="533"/>
          <w:tblHeader/>
        </w:trPr>
        <w:tc>
          <w:tcPr>
            <w:tcW w:w="4046" w:type="dxa"/>
            <w:shd w:val="clear" w:color="auto" w:fill="BFBFBF" w:themeFill="background1" w:themeFillShade="BF"/>
            <w:tcMar>
              <w:top w:w="40" w:type="dxa"/>
              <w:left w:w="40" w:type="dxa"/>
              <w:bottom w:w="40" w:type="dxa"/>
              <w:right w:w="40" w:type="dxa"/>
            </w:tcMar>
            <w:vAlign w:val="center"/>
          </w:tcPr>
          <w:p w:rsidR="00E444CB" w:rsidRPr="00C87FA3" w:rsidP="00E444CB">
            <w:pPr>
              <w:spacing w:after="0" w:line="240" w:lineRule="auto"/>
              <w:ind w:left="106"/>
              <w:jc w:val="center"/>
              <w:rPr>
                <w:rFonts w:ascii="Arial" w:eastAsia="Times New Roman" w:hAnsi="Arial" w:cs="Times New Roman"/>
                <w:b/>
                <w:bCs/>
              </w:rPr>
            </w:pPr>
            <w:r w:rsidRPr="00C87FA3">
              <w:rPr>
                <w:rFonts w:ascii="Arial" w:eastAsia="Times New Roman" w:hAnsi="Arial" w:cs="Times New Roman"/>
                <w:b/>
                <w:bCs/>
              </w:rPr>
              <w:t>Project</w:t>
            </w:r>
          </w:p>
        </w:tc>
        <w:tc>
          <w:tcPr>
            <w:tcW w:w="7153" w:type="dxa"/>
            <w:shd w:val="clear" w:color="auto" w:fill="BFBFBF" w:themeFill="background1" w:themeFillShade="BF"/>
            <w:tcMar>
              <w:top w:w="40" w:type="dxa"/>
              <w:left w:w="40" w:type="dxa"/>
              <w:bottom w:w="40" w:type="dxa"/>
              <w:right w:w="40" w:type="dxa"/>
            </w:tcMar>
            <w:vAlign w:val="center"/>
          </w:tcPr>
          <w:p w:rsidR="00E444CB" w:rsidRPr="00B334FC" w:rsidP="00E444CB">
            <w:pPr>
              <w:spacing w:after="0" w:line="240" w:lineRule="auto"/>
              <w:jc w:val="center"/>
              <w:rPr>
                <w:rFonts w:ascii="Arial" w:eastAsia="Arial" w:hAnsi="Arial" w:cs="Times New Roman"/>
                <w:b/>
                <w:color w:val="000000"/>
              </w:rPr>
            </w:pPr>
            <w:r>
              <w:rPr>
                <w:rFonts w:ascii="Arial" w:eastAsia="Arial" w:hAnsi="Arial" w:cs="Times New Roman"/>
                <w:b/>
                <w:color w:val="000000"/>
              </w:rPr>
              <w:t>Status Summary</w:t>
            </w:r>
          </w:p>
        </w:tc>
      </w:tr>
      <w:tr w:rsidTr="00E444CB">
        <w:tblPrEx>
          <w:tblW w:w="11199" w:type="dxa"/>
          <w:tblInd w:w="-436" w:type="dxa"/>
          <w:tblCellMar>
            <w:left w:w="57" w:type="dxa"/>
            <w:right w:w="57" w:type="dxa"/>
          </w:tblCellMar>
          <w:tblLook w:val="0000"/>
        </w:tblPrEx>
        <w:trPr>
          <w:trHeight w:val="244"/>
        </w:trPr>
        <w:tc>
          <w:tcPr>
            <w:tcW w:w="4046" w:type="dxa"/>
            <w:tcMar>
              <w:top w:w="80" w:type="dxa"/>
              <w:left w:w="40" w:type="dxa"/>
              <w:bottom w:w="80" w:type="dxa"/>
              <w:right w:w="40" w:type="dxa"/>
            </w:tcMar>
          </w:tcPr>
          <w:p w:rsidR="00E444CB" w:rsidRPr="00B334FC" w:rsidP="00E444CB">
            <w:pPr>
              <w:spacing w:after="0" w:line="240" w:lineRule="auto"/>
              <w:rPr>
                <w:rFonts w:ascii="Arial" w:eastAsia="Arial" w:hAnsi="Arial" w:cs="Times New Roman"/>
                <w:color w:val="000000"/>
              </w:rPr>
            </w:pPr>
            <w:r w:rsidRPr="005D641B">
              <w:rPr>
                <w:rFonts w:ascii="Arial" w:eastAsia="Calibri" w:hAnsi="Arial" w:cs="Arial"/>
                <w:b/>
                <w:bCs/>
                <w:color w:val="000000"/>
              </w:rPr>
              <w:t xml:space="preserve">Work with partners to design and </w:t>
            </w:r>
            <w:r w:rsidRPr="005D641B">
              <w:rPr>
                <w:rFonts w:ascii="Arial" w:eastAsia="Calibri" w:hAnsi="Arial" w:cs="Arial"/>
                <w:b/>
                <w:bCs/>
                <w:color w:val="000000"/>
              </w:rPr>
              <w:t>deliver more sustainable public services</w:t>
            </w:r>
          </w:p>
        </w:tc>
        <w:tc>
          <w:tcPr>
            <w:tcW w:w="7153" w:type="dxa"/>
            <w:tcMar>
              <w:top w:w="80" w:type="dxa"/>
              <w:left w:w="40" w:type="dxa"/>
              <w:bottom w:w="80" w:type="dxa"/>
              <w:right w:w="40" w:type="dxa"/>
            </w:tcMar>
            <w:vAlign w:val="center"/>
          </w:tcPr>
          <w:p w:rsidR="00E444CB" w:rsidRPr="001B5EC7" w:rsidP="00E444CB">
            <w:pPr>
              <w:spacing w:after="0" w:line="240" w:lineRule="auto"/>
              <w:rPr>
                <w:rFonts w:ascii="Arial" w:eastAsia="Calibri" w:hAnsi="Arial" w:cs="Times New Roman"/>
              </w:rPr>
            </w:pPr>
            <w:r w:rsidRPr="001B5EC7">
              <w:rPr>
                <w:rFonts w:ascii="Arial" w:eastAsia="Calibri" w:hAnsi="Arial" w:cs="Times New Roman"/>
              </w:rPr>
              <w:t xml:space="preserve">This project was completed in quarter two 2021/22. </w:t>
            </w:r>
          </w:p>
          <w:p w:rsidR="00E444CB" w:rsidRPr="001B5EC7" w:rsidP="00E444CB">
            <w:pPr>
              <w:spacing w:after="0" w:line="240" w:lineRule="auto"/>
              <w:rPr>
                <w:rFonts w:ascii="Arial" w:eastAsia="Calibri" w:hAnsi="Arial" w:cs="Times New Roman"/>
              </w:rPr>
            </w:pPr>
          </w:p>
          <w:p w:rsidR="00E444CB" w:rsidRPr="001B5EC7" w:rsidP="00E444CB">
            <w:pPr>
              <w:spacing w:after="0" w:line="240" w:lineRule="auto"/>
              <w:rPr>
                <w:rFonts w:ascii="Arial" w:eastAsia="Calibri" w:hAnsi="Arial" w:cs="Times New Roman"/>
              </w:rPr>
            </w:pPr>
            <w:r w:rsidRPr="001B5EC7">
              <w:rPr>
                <w:rFonts w:ascii="Arial" w:eastAsia="Calibri" w:hAnsi="Arial" w:cs="Times New Roman"/>
              </w:rPr>
              <w:t>This project has ensured that we have a fit-for-purpose model of partnership working based on greater collaboration between the Chorley Public Service Reform Boar</w:t>
            </w:r>
            <w:r w:rsidRPr="001B5EC7">
              <w:rPr>
                <w:rFonts w:ascii="Arial" w:eastAsia="Calibri" w:hAnsi="Arial" w:cs="Times New Roman"/>
              </w:rPr>
              <w:t xml:space="preserve">d and the South Ribble Partnership. This will allow us to achieve greater scale, influence, and efficiencies in our partnership work. </w:t>
            </w:r>
          </w:p>
        </w:tc>
      </w:tr>
      <w:tr w:rsidTr="00E444CB">
        <w:tblPrEx>
          <w:tblW w:w="11199" w:type="dxa"/>
          <w:tblInd w:w="-436" w:type="dxa"/>
          <w:tblCellMar>
            <w:left w:w="57" w:type="dxa"/>
            <w:right w:w="57" w:type="dxa"/>
          </w:tblCellMar>
          <w:tblLook w:val="0000"/>
        </w:tblPrEx>
        <w:trPr>
          <w:trHeight w:val="1050"/>
        </w:trPr>
        <w:tc>
          <w:tcPr>
            <w:tcW w:w="4046" w:type="dxa"/>
            <w:tcMar>
              <w:top w:w="80" w:type="dxa"/>
              <w:left w:w="40" w:type="dxa"/>
              <w:bottom w:w="80" w:type="dxa"/>
              <w:right w:w="40" w:type="dxa"/>
            </w:tcMar>
          </w:tcPr>
          <w:p w:rsidR="00E444CB" w:rsidRPr="00B334FC" w:rsidP="00E444CB">
            <w:pPr>
              <w:spacing w:after="0" w:line="240" w:lineRule="auto"/>
              <w:rPr>
                <w:rFonts w:ascii="Arial" w:eastAsia="Arial" w:hAnsi="Arial" w:cs="Times New Roman"/>
                <w:color w:val="000000"/>
              </w:rPr>
            </w:pPr>
            <w:r w:rsidRPr="005D641B">
              <w:rPr>
                <w:rFonts w:ascii="Arial" w:eastAsia="Calibri" w:hAnsi="Arial" w:cs="Arial"/>
                <w:b/>
                <w:bCs/>
                <w:color w:val="000000"/>
              </w:rPr>
              <w:t>Transform the Way the Council operates / Extension of Shared Services: Phase 2</w:t>
            </w:r>
          </w:p>
        </w:tc>
        <w:tc>
          <w:tcPr>
            <w:tcW w:w="7153" w:type="dxa"/>
            <w:tcMar>
              <w:top w:w="80" w:type="dxa"/>
              <w:left w:w="40" w:type="dxa"/>
              <w:bottom w:w="80" w:type="dxa"/>
              <w:right w:w="40" w:type="dxa"/>
            </w:tcMar>
            <w:vAlign w:val="center"/>
          </w:tcPr>
          <w:p w:rsidR="00E444CB" w:rsidRPr="001B5EC7" w:rsidP="00E444CB">
            <w:pPr>
              <w:spacing w:after="0" w:line="240" w:lineRule="auto"/>
              <w:rPr>
                <w:rFonts w:ascii="Arial" w:eastAsia="Calibri" w:hAnsi="Arial" w:cs="Times New Roman"/>
              </w:rPr>
            </w:pPr>
            <w:r w:rsidRPr="001B5EC7">
              <w:rPr>
                <w:rFonts w:ascii="Arial" w:eastAsia="Calibri" w:hAnsi="Arial" w:cs="Times New Roman"/>
              </w:rPr>
              <w:t xml:space="preserve">The delivery of Shared Services Phase 2 is scheduled to be completed by March 2022. </w:t>
            </w:r>
          </w:p>
          <w:p w:rsidR="00E444CB" w:rsidRPr="001B5EC7" w:rsidP="00E444CB">
            <w:pPr>
              <w:spacing w:after="0" w:line="240" w:lineRule="auto"/>
              <w:rPr>
                <w:rFonts w:ascii="Arial" w:eastAsia="Calibri" w:hAnsi="Arial" w:cs="Times New Roman"/>
              </w:rPr>
            </w:pPr>
          </w:p>
          <w:p w:rsidR="00E444CB" w:rsidRPr="001B5EC7" w:rsidP="00E444CB">
            <w:pPr>
              <w:spacing w:after="0" w:line="240" w:lineRule="auto"/>
              <w:rPr>
                <w:rFonts w:ascii="Arial" w:eastAsia="Calibri" w:hAnsi="Arial" w:cs="Times New Roman"/>
              </w:rPr>
            </w:pPr>
            <w:r w:rsidRPr="001B5EC7">
              <w:rPr>
                <w:rFonts w:ascii="Arial" w:eastAsia="Calibri" w:hAnsi="Arial" w:cs="Times New Roman"/>
              </w:rPr>
              <w:t>Over 2021/22, this project has progressed the extension of shared services with South Ribble Borough Council to include the ICT Service and Customer Services. This has en</w:t>
            </w:r>
            <w:r w:rsidRPr="001B5EC7">
              <w:rPr>
                <w:rFonts w:ascii="Arial" w:eastAsia="Calibri" w:hAnsi="Arial" w:cs="Times New Roman"/>
              </w:rPr>
              <w:t xml:space="preserve">sured greater resilience for both authorities financially and in terms of the sharing of knowledge, resources, and skills. This will ensure that our customers received better value for money for their services. </w:t>
            </w:r>
          </w:p>
        </w:tc>
      </w:tr>
      <w:tr w:rsidTr="00E444CB">
        <w:tblPrEx>
          <w:tblW w:w="11199" w:type="dxa"/>
          <w:tblInd w:w="-436" w:type="dxa"/>
          <w:tblCellMar>
            <w:left w:w="57" w:type="dxa"/>
            <w:right w:w="57" w:type="dxa"/>
          </w:tblCellMar>
          <w:tblLook w:val="0000"/>
        </w:tblPrEx>
        <w:trPr>
          <w:trHeight w:val="244"/>
        </w:trPr>
        <w:tc>
          <w:tcPr>
            <w:tcW w:w="4046" w:type="dxa"/>
            <w:tcMar>
              <w:top w:w="80" w:type="dxa"/>
              <w:left w:w="40" w:type="dxa"/>
              <w:bottom w:w="80" w:type="dxa"/>
              <w:right w:w="40" w:type="dxa"/>
            </w:tcMar>
          </w:tcPr>
          <w:p w:rsidR="00E444CB" w:rsidRPr="00B334FC" w:rsidP="00E444CB">
            <w:pPr>
              <w:spacing w:after="0" w:line="240" w:lineRule="auto"/>
              <w:rPr>
                <w:rFonts w:ascii="Arial" w:eastAsia="Arial" w:hAnsi="Arial" w:cs="Times New Roman"/>
                <w:color w:val="000000"/>
              </w:rPr>
            </w:pPr>
            <w:r w:rsidRPr="005D641B">
              <w:rPr>
                <w:rFonts w:ascii="Arial" w:eastAsia="Calibri" w:hAnsi="Arial" w:cs="Arial"/>
                <w:b/>
                <w:bCs/>
                <w:color w:val="000000"/>
                <w:lang w:val="en-US"/>
              </w:rPr>
              <w:t>Deliver year one of the joint digital strat</w:t>
            </w:r>
            <w:r w:rsidRPr="005D641B">
              <w:rPr>
                <w:rFonts w:ascii="Arial" w:eastAsia="Calibri" w:hAnsi="Arial" w:cs="Arial"/>
                <w:b/>
                <w:bCs/>
                <w:color w:val="000000"/>
                <w:lang w:val="en-US"/>
              </w:rPr>
              <w:t>egy</w:t>
            </w:r>
          </w:p>
        </w:tc>
        <w:tc>
          <w:tcPr>
            <w:tcW w:w="7153" w:type="dxa"/>
            <w:tcMar>
              <w:top w:w="80" w:type="dxa"/>
              <w:left w:w="40" w:type="dxa"/>
              <w:bottom w:w="80" w:type="dxa"/>
              <w:right w:w="40" w:type="dxa"/>
            </w:tcMar>
            <w:vAlign w:val="center"/>
          </w:tcPr>
          <w:p w:rsidR="00E444CB" w:rsidRPr="001B5EC7" w:rsidP="00E444CB">
            <w:pPr>
              <w:spacing w:after="0" w:line="240" w:lineRule="auto"/>
              <w:rPr>
                <w:rFonts w:ascii="Arial" w:eastAsia="Calibri" w:hAnsi="Arial" w:cs="Times New Roman"/>
              </w:rPr>
            </w:pPr>
            <w:r w:rsidRPr="001B5EC7">
              <w:rPr>
                <w:rFonts w:ascii="Arial" w:eastAsia="Calibri" w:hAnsi="Arial" w:cs="Times New Roman"/>
              </w:rPr>
              <w:t xml:space="preserve">This project will reprofiled and rolled forward into the service level business plan to be delivered over 2022/23. </w:t>
            </w:r>
          </w:p>
          <w:p w:rsidR="00E444CB" w:rsidRPr="001B5EC7" w:rsidP="00E444CB">
            <w:pPr>
              <w:spacing w:after="0" w:line="240" w:lineRule="auto"/>
              <w:rPr>
                <w:rFonts w:ascii="Arial" w:eastAsia="Calibri" w:hAnsi="Arial" w:cs="Times New Roman"/>
              </w:rPr>
            </w:pPr>
          </w:p>
          <w:p w:rsidR="00E444CB" w:rsidRPr="001B5EC7" w:rsidP="00E444CB">
            <w:pPr>
              <w:spacing w:after="0" w:line="240" w:lineRule="auto"/>
              <w:rPr>
                <w:rFonts w:ascii="Arial" w:eastAsia="Calibri" w:hAnsi="Arial" w:cs="Times New Roman"/>
              </w:rPr>
            </w:pPr>
            <w:r w:rsidRPr="001B5EC7">
              <w:rPr>
                <w:rFonts w:ascii="Arial" w:eastAsia="Calibri" w:hAnsi="Arial" w:cs="Times New Roman"/>
              </w:rPr>
              <w:t>Improvements delivered as part of this project’s delivery have ensured that the Council can operate efficiently and in turn provide effective and value for money services for our customers. Digital technology adopted as part of this project includes the cl</w:t>
            </w:r>
            <w:r w:rsidRPr="001B5EC7">
              <w:rPr>
                <w:rFonts w:ascii="Arial" w:eastAsia="Calibri" w:hAnsi="Arial" w:cs="Times New Roman"/>
              </w:rPr>
              <w:t>oud software SharePoint, which is enabling staff to share data seamlessly across shared services and with third parties, facilitating new ways of working and collaboration. Automation has also been achieved across key services, such as Planning and Buildin</w:t>
            </w:r>
            <w:r w:rsidRPr="001B5EC7">
              <w:rPr>
                <w:rFonts w:ascii="Arial" w:eastAsia="Calibri" w:hAnsi="Arial" w:cs="Times New Roman"/>
              </w:rPr>
              <w:t>g Control, to improve efficiency.</w:t>
            </w:r>
          </w:p>
        </w:tc>
      </w:tr>
      <w:tr w:rsidTr="00E444CB">
        <w:tblPrEx>
          <w:tblW w:w="11199" w:type="dxa"/>
          <w:tblInd w:w="-436" w:type="dxa"/>
          <w:tblCellMar>
            <w:left w:w="57" w:type="dxa"/>
            <w:right w:w="57" w:type="dxa"/>
          </w:tblCellMar>
          <w:tblLook w:val="0000"/>
        </w:tblPrEx>
        <w:trPr>
          <w:trHeight w:val="244"/>
        </w:trPr>
        <w:tc>
          <w:tcPr>
            <w:tcW w:w="4046" w:type="dxa"/>
            <w:tcMar>
              <w:top w:w="80" w:type="dxa"/>
              <w:left w:w="40" w:type="dxa"/>
              <w:bottom w:w="80" w:type="dxa"/>
              <w:right w:w="40" w:type="dxa"/>
            </w:tcMar>
          </w:tcPr>
          <w:p w:rsidR="00E444CB" w:rsidRPr="00B334FC" w:rsidP="00E444CB">
            <w:pPr>
              <w:spacing w:after="0" w:line="240" w:lineRule="auto"/>
              <w:rPr>
                <w:rFonts w:ascii="Arial" w:eastAsia="Arial" w:hAnsi="Arial" w:cs="Times New Roman"/>
                <w:color w:val="000000"/>
              </w:rPr>
            </w:pPr>
            <w:r w:rsidRPr="005D641B">
              <w:rPr>
                <w:rFonts w:ascii="Arial" w:eastAsia="Calibri" w:hAnsi="Arial" w:cs="Arial"/>
                <w:b/>
                <w:bCs/>
                <w:color w:val="000000"/>
                <w:lang w:val="en-US"/>
              </w:rPr>
              <w:t>Deliver the Annual Governance Statement action plan</w:t>
            </w:r>
          </w:p>
        </w:tc>
        <w:tc>
          <w:tcPr>
            <w:tcW w:w="7153" w:type="dxa"/>
            <w:tcMar>
              <w:top w:w="80" w:type="dxa"/>
              <w:left w:w="40" w:type="dxa"/>
              <w:bottom w:w="80" w:type="dxa"/>
              <w:right w:w="40" w:type="dxa"/>
            </w:tcMar>
            <w:vAlign w:val="center"/>
          </w:tcPr>
          <w:p w:rsidR="00E444CB" w:rsidRPr="001B5EC7" w:rsidP="00E444CB">
            <w:pPr>
              <w:spacing w:after="0" w:line="240" w:lineRule="auto"/>
              <w:rPr>
                <w:rFonts w:ascii="Arial" w:eastAsia="Calibri" w:hAnsi="Arial" w:cs="Times New Roman"/>
              </w:rPr>
            </w:pPr>
            <w:r w:rsidRPr="001B5EC7">
              <w:rPr>
                <w:rFonts w:ascii="Arial" w:eastAsia="Calibri" w:hAnsi="Arial" w:cs="Times New Roman"/>
              </w:rPr>
              <w:t xml:space="preserve">This project was completed in quarter two 2021/22. </w:t>
            </w:r>
          </w:p>
          <w:p w:rsidR="00E444CB" w:rsidRPr="001B5EC7" w:rsidP="00E444CB">
            <w:pPr>
              <w:spacing w:after="0" w:line="240" w:lineRule="auto"/>
              <w:rPr>
                <w:rFonts w:ascii="Arial" w:eastAsia="Calibri" w:hAnsi="Arial" w:cs="Times New Roman"/>
              </w:rPr>
            </w:pPr>
          </w:p>
          <w:p w:rsidR="00E444CB" w:rsidRPr="001B5EC7" w:rsidP="00E444CB">
            <w:pPr>
              <w:spacing w:after="0" w:line="240" w:lineRule="auto"/>
              <w:rPr>
                <w:rFonts w:ascii="Arial" w:eastAsia="Calibri" w:hAnsi="Arial" w:cs="Times New Roman"/>
              </w:rPr>
            </w:pPr>
            <w:r w:rsidRPr="001B5EC7">
              <w:rPr>
                <w:rFonts w:ascii="Arial" w:eastAsia="Calibri" w:hAnsi="Arial" w:cs="Times New Roman"/>
              </w:rPr>
              <w:t xml:space="preserve">Through 2021/22 the project has delivered an </w:t>
            </w:r>
            <w:r>
              <w:rPr>
                <w:rFonts w:ascii="Arial" w:eastAsia="Calibri" w:hAnsi="Arial" w:cs="Times New Roman"/>
              </w:rPr>
              <w:t xml:space="preserve">updated constitution; refreshed governance, performance management and </w:t>
            </w:r>
            <w:r>
              <w:rPr>
                <w:rFonts w:ascii="Arial" w:eastAsia="Calibri" w:hAnsi="Arial" w:cs="Times New Roman"/>
              </w:rPr>
              <w:t xml:space="preserve">human resources policies; a consistent approach to community engagement and consultation through the Consultation Framework and Community Engagement Strategy; and a </w:t>
            </w:r>
            <w:r w:rsidRPr="00A7475E">
              <w:rPr>
                <w:rFonts w:ascii="Arial" w:eastAsia="Calibri" w:hAnsi="Arial" w:cs="Times New Roman"/>
              </w:rPr>
              <w:t>robust approach to managing strategic contracts and partnerships</w:t>
            </w:r>
            <w:r>
              <w:rPr>
                <w:rFonts w:ascii="Arial" w:eastAsia="Calibri" w:hAnsi="Arial" w:cs="Times New Roman"/>
              </w:rPr>
              <w:t xml:space="preserve"> through the Partnership Fr</w:t>
            </w:r>
            <w:r>
              <w:rPr>
                <w:rFonts w:ascii="Arial" w:eastAsia="Calibri" w:hAnsi="Arial" w:cs="Times New Roman"/>
              </w:rPr>
              <w:t xml:space="preserve">amework. Overall, the actions in place will </w:t>
            </w:r>
            <w:r w:rsidRPr="001B5EC7">
              <w:rPr>
                <w:rFonts w:ascii="Arial" w:eastAsia="Calibri" w:hAnsi="Arial" w:cs="Times New Roman"/>
              </w:rPr>
              <w:t>ensure that the council is a transparent, accountable organisation with an improved governance culture and environment.</w:t>
            </w:r>
          </w:p>
        </w:tc>
      </w:tr>
      <w:tr w:rsidTr="00E444CB">
        <w:tblPrEx>
          <w:tblW w:w="11199" w:type="dxa"/>
          <w:tblInd w:w="-436" w:type="dxa"/>
          <w:tblCellMar>
            <w:left w:w="57" w:type="dxa"/>
            <w:right w:w="57" w:type="dxa"/>
          </w:tblCellMar>
          <w:tblLook w:val="0000"/>
        </w:tblPrEx>
        <w:trPr>
          <w:trHeight w:val="244"/>
        </w:trPr>
        <w:tc>
          <w:tcPr>
            <w:tcW w:w="4046" w:type="dxa"/>
            <w:tcMar>
              <w:top w:w="80" w:type="dxa"/>
              <w:left w:w="40" w:type="dxa"/>
              <w:bottom w:w="80" w:type="dxa"/>
              <w:right w:w="40" w:type="dxa"/>
            </w:tcMar>
          </w:tcPr>
          <w:p w:rsidR="00E444CB" w:rsidRPr="00B334FC" w:rsidP="00E444CB">
            <w:pPr>
              <w:spacing w:after="0" w:line="240" w:lineRule="auto"/>
              <w:rPr>
                <w:rFonts w:ascii="Arial" w:eastAsia="Arial" w:hAnsi="Arial" w:cs="Times New Roman"/>
                <w:color w:val="000000"/>
              </w:rPr>
            </w:pPr>
            <w:r w:rsidRPr="005D641B">
              <w:rPr>
                <w:rFonts w:ascii="Arial" w:eastAsia="Calibri" w:hAnsi="Arial" w:cs="Arial"/>
                <w:b/>
                <w:bCs/>
                <w:color w:val="000000"/>
              </w:rPr>
              <w:t>Establish a youth council</w:t>
            </w:r>
          </w:p>
        </w:tc>
        <w:tc>
          <w:tcPr>
            <w:tcW w:w="7153" w:type="dxa"/>
            <w:tcMar>
              <w:top w:w="80" w:type="dxa"/>
              <w:left w:w="40" w:type="dxa"/>
              <w:bottom w:w="80" w:type="dxa"/>
              <w:right w:w="40" w:type="dxa"/>
            </w:tcMar>
            <w:vAlign w:val="center"/>
          </w:tcPr>
          <w:p w:rsidR="00E444CB" w:rsidP="00E444CB">
            <w:pPr>
              <w:spacing w:after="0" w:line="240" w:lineRule="auto"/>
              <w:rPr>
                <w:rFonts w:ascii="Arial" w:eastAsia="Calibri" w:hAnsi="Arial" w:cs="Times New Roman"/>
              </w:rPr>
            </w:pPr>
            <w:r w:rsidRPr="001B5EC7">
              <w:rPr>
                <w:rFonts w:ascii="Arial" w:eastAsia="Calibri" w:hAnsi="Arial" w:cs="Times New Roman"/>
              </w:rPr>
              <w:t>This project will continue to be delivered as part of the 2022/23</w:t>
            </w:r>
            <w:r w:rsidRPr="001B5EC7">
              <w:rPr>
                <w:rFonts w:ascii="Arial" w:eastAsia="Calibri" w:hAnsi="Arial" w:cs="Times New Roman"/>
              </w:rPr>
              <w:t xml:space="preserve"> Corporate strategy to increase democratic participation across young people.</w:t>
            </w:r>
            <w:r>
              <w:rPr>
                <w:rFonts w:ascii="Arial" w:eastAsia="Calibri" w:hAnsi="Arial" w:cs="Times New Roman"/>
              </w:rPr>
              <w:t xml:space="preserve"> </w:t>
            </w:r>
          </w:p>
          <w:p w:rsidR="00E444CB" w:rsidP="00E444CB">
            <w:pPr>
              <w:spacing w:after="0" w:line="240" w:lineRule="auto"/>
              <w:rPr>
                <w:rFonts w:ascii="Arial" w:eastAsia="Calibri" w:hAnsi="Arial" w:cs="Times New Roman"/>
              </w:rPr>
            </w:pPr>
          </w:p>
          <w:p w:rsidR="006D7E7B" w:rsidRPr="001B5EC7" w:rsidP="00E444CB">
            <w:pPr>
              <w:spacing w:after="0" w:line="240" w:lineRule="auto"/>
              <w:rPr>
                <w:rFonts w:ascii="Arial" w:eastAsia="Calibri" w:hAnsi="Arial" w:cs="Times New Roman"/>
              </w:rPr>
            </w:pPr>
            <w:r>
              <w:rPr>
                <w:rFonts w:ascii="Arial" w:eastAsia="Calibri" w:hAnsi="Arial" w:cs="Times New Roman"/>
              </w:rPr>
              <w:t>T</w:t>
            </w:r>
            <w:r w:rsidRPr="00935AB5">
              <w:rPr>
                <w:rFonts w:ascii="Arial" w:eastAsia="Calibri" w:hAnsi="Arial" w:cs="Times New Roman"/>
              </w:rPr>
              <w:t xml:space="preserve">he project has </w:t>
            </w:r>
            <w:r>
              <w:rPr>
                <w:rFonts w:ascii="Arial" w:eastAsia="Calibri" w:hAnsi="Arial" w:cs="Times New Roman"/>
              </w:rPr>
              <w:t>defined the</w:t>
            </w:r>
            <w:r w:rsidRPr="00935AB5">
              <w:rPr>
                <w:rFonts w:ascii="Arial" w:eastAsia="Calibri" w:hAnsi="Arial" w:cs="Times New Roman"/>
              </w:rPr>
              <w:t xml:space="preserve"> Youth Council </w:t>
            </w:r>
            <w:r>
              <w:rPr>
                <w:rFonts w:ascii="Arial" w:eastAsia="Calibri" w:hAnsi="Arial" w:cs="Times New Roman"/>
              </w:rPr>
              <w:t xml:space="preserve">and established a proposed structure </w:t>
            </w:r>
            <w:r w:rsidRPr="00935AB5">
              <w:rPr>
                <w:rFonts w:ascii="Arial" w:eastAsia="Calibri" w:hAnsi="Arial" w:cs="Times New Roman"/>
              </w:rPr>
              <w:t xml:space="preserve">in October 2021 </w:t>
            </w:r>
            <w:r>
              <w:rPr>
                <w:rFonts w:ascii="Arial" w:eastAsia="Calibri" w:hAnsi="Arial" w:cs="Times New Roman"/>
              </w:rPr>
              <w:t>as a result of</w:t>
            </w:r>
            <w:r w:rsidRPr="00935AB5">
              <w:rPr>
                <w:rFonts w:ascii="Arial" w:eastAsia="Calibri" w:hAnsi="Arial" w:cs="Times New Roman"/>
              </w:rPr>
              <w:t xml:space="preserve"> consultations </w:t>
            </w:r>
            <w:r>
              <w:rPr>
                <w:rFonts w:ascii="Arial" w:eastAsia="Calibri" w:hAnsi="Arial" w:cs="Times New Roman"/>
              </w:rPr>
              <w:t xml:space="preserve">with young people to inform and shape its </w:t>
            </w:r>
            <w:r w:rsidRPr="00935AB5">
              <w:rPr>
                <w:rFonts w:ascii="Arial" w:eastAsia="Calibri" w:hAnsi="Arial" w:cs="Times New Roman"/>
              </w:rPr>
              <w:t>design</w:t>
            </w:r>
            <w:r>
              <w:rPr>
                <w:rFonts w:ascii="Arial" w:eastAsia="Calibri" w:hAnsi="Arial" w:cs="Times New Roman"/>
              </w:rPr>
              <w:t>. Th</w:t>
            </w:r>
            <w:r>
              <w:rPr>
                <w:rFonts w:ascii="Arial" w:eastAsia="Calibri" w:hAnsi="Arial" w:cs="Times New Roman"/>
              </w:rPr>
              <w:t xml:space="preserve">e project has engaged with 20 young people from schools and social media. The Youth Council will focus on three key topics every quarter and will look to engage young people in </w:t>
            </w:r>
            <w:r w:rsidRPr="001B5EC7">
              <w:rPr>
                <w:rFonts w:ascii="Arial" w:eastAsia="Calibri" w:hAnsi="Arial" w:cs="Times New Roman"/>
              </w:rPr>
              <w:t xml:space="preserve">local decision making and involve them in the community. </w:t>
            </w:r>
            <w:r>
              <w:rPr>
                <w:rFonts w:ascii="Arial" w:eastAsia="Calibri" w:hAnsi="Arial" w:cs="Times New Roman"/>
              </w:rPr>
              <w:t xml:space="preserve"> </w:t>
            </w:r>
            <w:r w:rsidRPr="00935AB5">
              <w:rPr>
                <w:rFonts w:ascii="Arial" w:eastAsia="Calibri" w:hAnsi="Arial" w:cs="Times New Roman"/>
              </w:rPr>
              <w:t xml:space="preserve"> </w:t>
            </w:r>
          </w:p>
        </w:tc>
      </w:tr>
      <w:tr w:rsidTr="00E444CB">
        <w:tblPrEx>
          <w:tblW w:w="11199" w:type="dxa"/>
          <w:tblInd w:w="-436" w:type="dxa"/>
          <w:tblCellMar>
            <w:left w:w="57" w:type="dxa"/>
            <w:right w:w="57" w:type="dxa"/>
          </w:tblCellMar>
          <w:tblLook w:val="0000"/>
        </w:tblPrEx>
        <w:trPr>
          <w:trHeight w:val="244"/>
        </w:trPr>
        <w:tc>
          <w:tcPr>
            <w:tcW w:w="4046" w:type="dxa"/>
            <w:tcMar>
              <w:top w:w="80" w:type="dxa"/>
              <w:left w:w="40" w:type="dxa"/>
              <w:bottom w:w="80" w:type="dxa"/>
              <w:right w:w="40" w:type="dxa"/>
            </w:tcMar>
          </w:tcPr>
          <w:p w:rsidR="00E444CB" w:rsidRPr="00B334FC" w:rsidP="00E444CB">
            <w:pPr>
              <w:spacing w:after="0" w:line="240" w:lineRule="auto"/>
              <w:rPr>
                <w:rFonts w:ascii="Arial" w:eastAsia="Arial" w:hAnsi="Arial" w:cs="Times New Roman"/>
                <w:color w:val="000000"/>
              </w:rPr>
            </w:pPr>
            <w:r w:rsidRPr="005D641B">
              <w:rPr>
                <w:rFonts w:ascii="Arial" w:eastAsia="Calibri" w:hAnsi="Arial" w:cs="Arial"/>
                <w:b/>
                <w:bCs/>
                <w:color w:val="000000"/>
              </w:rPr>
              <w:t>Establish South Ri</w:t>
            </w:r>
            <w:r w:rsidRPr="005D641B">
              <w:rPr>
                <w:rFonts w:ascii="Arial" w:eastAsia="Calibri" w:hAnsi="Arial" w:cs="Arial"/>
                <w:b/>
                <w:bCs/>
                <w:color w:val="000000"/>
              </w:rPr>
              <w:t>bble Together Hubs</w:t>
            </w:r>
          </w:p>
        </w:tc>
        <w:tc>
          <w:tcPr>
            <w:tcW w:w="7153" w:type="dxa"/>
            <w:tcMar>
              <w:top w:w="80" w:type="dxa"/>
              <w:left w:w="40" w:type="dxa"/>
              <w:bottom w:w="80" w:type="dxa"/>
              <w:right w:w="40" w:type="dxa"/>
            </w:tcMar>
            <w:vAlign w:val="center"/>
          </w:tcPr>
          <w:p w:rsidR="00E444CB" w:rsidP="00E444CB">
            <w:pPr>
              <w:spacing w:after="0" w:line="240" w:lineRule="auto"/>
              <w:rPr>
                <w:rFonts w:ascii="Arial" w:eastAsia="Times New Roman" w:hAnsi="Arial" w:cs="Arial"/>
                <w:szCs w:val="28"/>
              </w:rPr>
            </w:pPr>
            <w:r w:rsidRPr="00652D9F">
              <w:rPr>
                <w:rFonts w:ascii="Arial" w:eastAsia="Times New Roman" w:hAnsi="Arial" w:cs="Arial"/>
                <w:szCs w:val="28"/>
              </w:rPr>
              <w:t xml:space="preserve">This project will </w:t>
            </w:r>
            <w:r>
              <w:rPr>
                <w:rFonts w:ascii="Arial" w:eastAsia="Times New Roman" w:hAnsi="Arial" w:cs="Arial"/>
                <w:szCs w:val="28"/>
              </w:rPr>
              <w:t xml:space="preserve">be complete by March 2022 and will move into a new phase </w:t>
            </w:r>
            <w:r w:rsidRPr="00652D9F">
              <w:rPr>
                <w:rFonts w:ascii="Arial" w:eastAsia="Times New Roman" w:hAnsi="Arial" w:cs="Arial"/>
                <w:szCs w:val="28"/>
              </w:rPr>
              <w:t xml:space="preserve">as part of the new Corporate Strategy. </w:t>
            </w:r>
            <w:r>
              <w:rPr>
                <w:rFonts w:ascii="Arial" w:eastAsia="Times New Roman" w:hAnsi="Arial" w:cs="Arial"/>
                <w:szCs w:val="28"/>
              </w:rPr>
              <w:t xml:space="preserve">The project to ‘review and enhance the community hubs as a primary way to work closely with residents’ will deliver the </w:t>
            </w:r>
            <w:r>
              <w:rPr>
                <w:rFonts w:ascii="Arial" w:eastAsia="Times New Roman" w:hAnsi="Arial" w:cs="Arial"/>
                <w:szCs w:val="28"/>
              </w:rPr>
              <w:t>Community Hub action plans and ‘Boost’ fund to enable more to be achieved within local communities.</w:t>
            </w:r>
          </w:p>
          <w:p w:rsidR="00E444CB" w:rsidRPr="00652D9F" w:rsidP="00E444CB">
            <w:pPr>
              <w:spacing w:after="0" w:line="240" w:lineRule="auto"/>
              <w:rPr>
                <w:rFonts w:ascii="Arial" w:eastAsia="Times New Roman" w:hAnsi="Arial" w:cs="Arial"/>
                <w:szCs w:val="28"/>
              </w:rPr>
            </w:pPr>
          </w:p>
          <w:p w:rsidR="00E444CB" w:rsidRPr="00652D9F" w:rsidP="00E444CB">
            <w:pPr>
              <w:spacing w:after="0" w:line="240" w:lineRule="auto"/>
              <w:rPr>
                <w:rFonts w:ascii="Arial" w:eastAsia="Times New Roman" w:hAnsi="Arial" w:cs="Arial"/>
                <w:szCs w:val="28"/>
              </w:rPr>
            </w:pPr>
            <w:r>
              <w:rPr>
                <w:rFonts w:ascii="Arial" w:eastAsia="Times New Roman" w:hAnsi="Arial" w:cs="Arial"/>
                <w:szCs w:val="28"/>
              </w:rPr>
              <w:t>Over 2021/22 the Community Hubs have delivered several key achievements across the 5 neighbourhood areas such as the first tranche of Boost fund where over £20,000 was awarded to deliver community projects. A foodbank network has been established across So</w:t>
            </w:r>
            <w:r>
              <w:rPr>
                <w:rFonts w:ascii="Arial" w:eastAsia="Times New Roman" w:hAnsi="Arial" w:cs="Arial"/>
                <w:szCs w:val="28"/>
              </w:rPr>
              <w:t xml:space="preserve">uth Ribble, building on a commitment to ensure that families can access food and supplies. Other successes include South Ribble in Bloom event; </w:t>
            </w:r>
            <w:r w:rsidRPr="00EE3D37">
              <w:rPr>
                <w:rFonts w:cs="Arial"/>
                <w:iCs/>
              </w:rPr>
              <w:t>delivery of ‘Living Room Live’ (an online version of Penwortham Live Community Music Festival</w:t>
            </w:r>
            <w:r>
              <w:rPr>
                <w:rFonts w:cs="Arial"/>
                <w:iCs/>
              </w:rPr>
              <w:t xml:space="preserve">; </w:t>
            </w:r>
            <w:r w:rsidRPr="00EE3D37">
              <w:rPr>
                <w:rFonts w:cs="Arial"/>
                <w:iCs/>
              </w:rPr>
              <w:t>provision of plan</w:t>
            </w:r>
            <w:r w:rsidRPr="00EE3D37">
              <w:rPr>
                <w:rFonts w:cs="Arial"/>
                <w:iCs/>
              </w:rPr>
              <w:t>ts and trees to the new Peace Garden at the rear of the Civic Centre)</w:t>
            </w:r>
            <w:r>
              <w:rPr>
                <w:rFonts w:cs="Arial"/>
                <w:iCs/>
              </w:rPr>
              <w:t xml:space="preserve"> and the </w:t>
            </w:r>
            <w:r w:rsidRPr="00066C1A">
              <w:rPr>
                <w:rFonts w:cs="Arial"/>
                <w:iCs/>
              </w:rPr>
              <w:t>installation of</w:t>
            </w:r>
            <w:r w:rsidRPr="00D867B2">
              <w:t xml:space="preserve"> </w:t>
            </w:r>
            <w:r w:rsidRPr="00066C1A">
              <w:rPr>
                <w:rFonts w:cs="Arial"/>
                <w:iCs/>
              </w:rPr>
              <w:t>a community defibrillator at Walton le Dale Junior football club</w:t>
            </w:r>
            <w:r>
              <w:rPr>
                <w:rFonts w:cs="Arial"/>
                <w:iCs/>
              </w:rPr>
              <w:t>.</w:t>
            </w:r>
          </w:p>
          <w:p w:rsidR="00E444CB" w:rsidRPr="00652D9F" w:rsidP="00E444CB">
            <w:pPr>
              <w:spacing w:after="0" w:line="240" w:lineRule="auto"/>
              <w:rPr>
                <w:rFonts w:ascii="Arial" w:eastAsia="Times New Roman" w:hAnsi="Arial" w:cs="Arial"/>
                <w:color w:val="00B050"/>
                <w:szCs w:val="28"/>
              </w:rPr>
            </w:pPr>
          </w:p>
        </w:tc>
      </w:tr>
      <w:tr w:rsidTr="00E444CB">
        <w:tblPrEx>
          <w:tblW w:w="11199" w:type="dxa"/>
          <w:tblInd w:w="-436" w:type="dxa"/>
          <w:tblCellMar>
            <w:left w:w="57" w:type="dxa"/>
            <w:right w:w="57" w:type="dxa"/>
          </w:tblCellMar>
          <w:tblLook w:val="0000"/>
        </w:tblPrEx>
        <w:trPr>
          <w:trHeight w:val="244"/>
        </w:trPr>
        <w:tc>
          <w:tcPr>
            <w:tcW w:w="4046" w:type="dxa"/>
            <w:tcMar>
              <w:top w:w="80" w:type="dxa"/>
              <w:left w:w="40" w:type="dxa"/>
              <w:bottom w:w="80" w:type="dxa"/>
              <w:right w:w="40" w:type="dxa"/>
            </w:tcMar>
          </w:tcPr>
          <w:p w:rsidR="00E444CB" w:rsidRPr="00B334FC" w:rsidP="00E444CB">
            <w:pPr>
              <w:spacing w:after="0" w:line="240" w:lineRule="auto"/>
              <w:rPr>
                <w:rFonts w:ascii="Arial" w:eastAsia="Arial" w:hAnsi="Arial" w:cs="Times New Roman"/>
                <w:color w:val="000000"/>
              </w:rPr>
            </w:pPr>
            <w:r>
              <w:t xml:space="preserve"> </w:t>
            </w:r>
            <w:r w:rsidRPr="005D641B">
              <w:rPr>
                <w:rFonts w:ascii="Arial" w:hAnsi="Arial" w:cs="Arial"/>
                <w:b/>
                <w:bCs/>
                <w:color w:val="000000"/>
              </w:rPr>
              <w:t>Deliver a mental health support programme for young people</w:t>
            </w:r>
          </w:p>
        </w:tc>
        <w:tc>
          <w:tcPr>
            <w:tcW w:w="7153" w:type="dxa"/>
            <w:tcMar>
              <w:top w:w="80" w:type="dxa"/>
              <w:left w:w="40" w:type="dxa"/>
              <w:bottom w:w="80" w:type="dxa"/>
              <w:right w:w="40" w:type="dxa"/>
            </w:tcMar>
            <w:vAlign w:val="center"/>
          </w:tcPr>
          <w:p w:rsidR="00E444CB" w:rsidRPr="00902C75" w:rsidP="00E444CB">
            <w:pPr>
              <w:spacing w:after="0" w:line="240" w:lineRule="auto"/>
              <w:rPr>
                <w:rFonts w:ascii="Arial" w:eastAsia="Times New Roman" w:hAnsi="Arial" w:cs="Arial"/>
                <w:szCs w:val="28"/>
              </w:rPr>
            </w:pPr>
            <w:r w:rsidRPr="00902C75">
              <w:rPr>
                <w:rFonts w:ascii="Arial" w:eastAsia="Times New Roman" w:hAnsi="Arial" w:cs="Arial"/>
                <w:szCs w:val="28"/>
              </w:rPr>
              <w:t>This project will continue to be d</w:t>
            </w:r>
            <w:r w:rsidRPr="00902C75">
              <w:rPr>
                <w:rFonts w:ascii="Arial" w:eastAsia="Times New Roman" w:hAnsi="Arial" w:cs="Arial"/>
                <w:szCs w:val="28"/>
              </w:rPr>
              <w:t>elivered as part of the Communities business plan in 2022/23.</w:t>
            </w:r>
          </w:p>
          <w:p w:rsidR="00E444CB" w:rsidRPr="00902C75" w:rsidP="00E444CB">
            <w:pPr>
              <w:spacing w:after="0" w:line="240" w:lineRule="auto"/>
              <w:rPr>
                <w:rFonts w:ascii="Arial" w:eastAsia="Times New Roman" w:hAnsi="Arial" w:cs="Arial"/>
                <w:szCs w:val="28"/>
              </w:rPr>
            </w:pPr>
          </w:p>
          <w:p w:rsidR="00E444CB" w:rsidRPr="00902C75" w:rsidP="00E444CB">
            <w:pPr>
              <w:spacing w:after="0" w:line="240" w:lineRule="auto"/>
              <w:rPr>
                <w:rFonts w:ascii="Arial" w:eastAsia="Times New Roman" w:hAnsi="Arial" w:cs="Arial"/>
                <w:szCs w:val="28"/>
              </w:rPr>
            </w:pPr>
            <w:r w:rsidRPr="00902C75">
              <w:rPr>
                <w:rFonts w:ascii="Arial" w:eastAsia="Times New Roman" w:hAnsi="Arial" w:cs="Arial"/>
                <w:szCs w:val="28"/>
              </w:rPr>
              <w:t>The first year of the project focused on scoping and defining a clear set of actions to promote support for mental health targeting young people.  A directory of metal health services for young</w:t>
            </w:r>
            <w:r w:rsidRPr="00902C75">
              <w:rPr>
                <w:rFonts w:ascii="Arial" w:eastAsia="Times New Roman" w:hAnsi="Arial" w:cs="Arial"/>
                <w:szCs w:val="28"/>
              </w:rPr>
              <w:t xml:space="preserve"> people was developed and published onto the Council website.  Mental health first aider sessions were also delivered to 43 officers, with the aim to support young people’s mental health , developing essential knowledge and understanding that will be rolle</w:t>
            </w:r>
            <w:r w:rsidRPr="00902C75">
              <w:rPr>
                <w:rFonts w:ascii="Arial" w:eastAsia="Times New Roman" w:hAnsi="Arial" w:cs="Arial"/>
                <w:szCs w:val="28"/>
              </w:rPr>
              <w:t xml:space="preserve">d out to wider partners so that young people can be better supported when attending places such as work or recreational activities. </w:t>
            </w:r>
          </w:p>
        </w:tc>
      </w:tr>
      <w:tr w:rsidTr="00E444CB">
        <w:tblPrEx>
          <w:tblW w:w="11199" w:type="dxa"/>
          <w:tblInd w:w="-436" w:type="dxa"/>
          <w:tblCellMar>
            <w:left w:w="57" w:type="dxa"/>
            <w:right w:w="57" w:type="dxa"/>
          </w:tblCellMar>
          <w:tblLook w:val="0000"/>
        </w:tblPrEx>
        <w:trPr>
          <w:trHeight w:val="244"/>
        </w:trPr>
        <w:tc>
          <w:tcPr>
            <w:tcW w:w="4046" w:type="dxa"/>
            <w:tcMar>
              <w:top w:w="80" w:type="dxa"/>
              <w:left w:w="40" w:type="dxa"/>
              <w:bottom w:w="80" w:type="dxa"/>
              <w:right w:w="40" w:type="dxa"/>
            </w:tcMar>
          </w:tcPr>
          <w:p w:rsidR="00E444CB" w:rsidRPr="00B334FC" w:rsidP="00E444CB">
            <w:pPr>
              <w:spacing w:after="0" w:line="240" w:lineRule="auto"/>
              <w:rPr>
                <w:rFonts w:ascii="Arial" w:eastAsia="Arial" w:hAnsi="Arial" w:cs="Times New Roman"/>
                <w:color w:val="000000"/>
              </w:rPr>
            </w:pPr>
            <w:r w:rsidRPr="005D641B">
              <w:rPr>
                <w:rFonts w:ascii="Arial" w:eastAsia="Calibri" w:hAnsi="Arial" w:cs="Arial"/>
                <w:b/>
                <w:bCs/>
                <w:color w:val="000000"/>
              </w:rPr>
              <w:t>Establish a business support programme</w:t>
            </w:r>
          </w:p>
        </w:tc>
        <w:tc>
          <w:tcPr>
            <w:tcW w:w="7153" w:type="dxa"/>
            <w:tcMar>
              <w:top w:w="80" w:type="dxa"/>
              <w:left w:w="40" w:type="dxa"/>
              <w:bottom w:w="80" w:type="dxa"/>
              <w:right w:w="40" w:type="dxa"/>
            </w:tcMar>
            <w:vAlign w:val="center"/>
          </w:tcPr>
          <w:p w:rsidR="00E444CB" w:rsidRPr="00902C75" w:rsidP="00E444CB">
            <w:pPr>
              <w:spacing w:after="0" w:line="240" w:lineRule="auto"/>
              <w:rPr>
                <w:rFonts w:ascii="Arial" w:eastAsia="Times New Roman" w:hAnsi="Arial" w:cs="Arial"/>
                <w:szCs w:val="28"/>
              </w:rPr>
            </w:pPr>
            <w:r w:rsidRPr="00902C75">
              <w:rPr>
                <w:rFonts w:ascii="Arial" w:eastAsia="Times New Roman" w:hAnsi="Arial" w:cs="Arial"/>
                <w:szCs w:val="28"/>
              </w:rPr>
              <w:t xml:space="preserve">This project will be completed by March 2022. </w:t>
            </w:r>
          </w:p>
          <w:p w:rsidR="00E444CB" w:rsidRPr="00902C75" w:rsidP="00E444CB">
            <w:pPr>
              <w:spacing w:after="0" w:line="240" w:lineRule="auto"/>
              <w:rPr>
                <w:rFonts w:ascii="Arial" w:eastAsia="Times New Roman" w:hAnsi="Arial" w:cs="Arial"/>
                <w:szCs w:val="28"/>
              </w:rPr>
            </w:pPr>
          </w:p>
          <w:p w:rsidR="00E444CB" w:rsidRPr="00902C75" w:rsidP="00E444CB">
            <w:pPr>
              <w:spacing w:after="0" w:line="240" w:lineRule="auto"/>
              <w:rPr>
                <w:rFonts w:ascii="Arial" w:eastAsia="Times New Roman" w:hAnsi="Arial" w:cs="Arial"/>
                <w:szCs w:val="28"/>
              </w:rPr>
            </w:pPr>
            <w:r w:rsidRPr="00902C75">
              <w:rPr>
                <w:rFonts w:ascii="Arial" w:eastAsia="Times New Roman" w:hAnsi="Arial" w:cs="Arial"/>
                <w:szCs w:val="28"/>
              </w:rPr>
              <w:t>A grant scheme has been developed to respond to the needs of local businesses, to enhance the overall support available to local businesses through the national programme of business support.  The Council pro</w:t>
            </w:r>
            <w:r w:rsidRPr="00902C75">
              <w:rPr>
                <w:rFonts w:ascii="Arial" w:eastAsia="Times New Roman" w:hAnsi="Arial" w:cs="Arial"/>
                <w:szCs w:val="28"/>
              </w:rPr>
              <w:t>cessed 7,053 financial grants to businesses, totalling over 34.9 million as part of the support programme.</w:t>
            </w:r>
          </w:p>
        </w:tc>
      </w:tr>
      <w:tr w:rsidTr="00E444CB">
        <w:tblPrEx>
          <w:tblW w:w="11199" w:type="dxa"/>
          <w:tblInd w:w="-436" w:type="dxa"/>
          <w:tblCellMar>
            <w:left w:w="57" w:type="dxa"/>
            <w:right w:w="57" w:type="dxa"/>
          </w:tblCellMar>
          <w:tblLook w:val="0000"/>
        </w:tblPrEx>
        <w:trPr>
          <w:trHeight w:val="244"/>
        </w:trPr>
        <w:tc>
          <w:tcPr>
            <w:tcW w:w="4046" w:type="dxa"/>
            <w:tcMar>
              <w:top w:w="80" w:type="dxa"/>
              <w:left w:w="40" w:type="dxa"/>
              <w:bottom w:w="80" w:type="dxa"/>
              <w:right w:w="40" w:type="dxa"/>
            </w:tcMar>
          </w:tcPr>
          <w:p w:rsidR="00E444CB" w:rsidRPr="00B334FC" w:rsidP="00E444CB">
            <w:pPr>
              <w:spacing w:after="0" w:line="240" w:lineRule="auto"/>
              <w:rPr>
                <w:rFonts w:ascii="Arial" w:eastAsia="Arial" w:hAnsi="Arial" w:cs="Times New Roman"/>
                <w:color w:val="000000"/>
              </w:rPr>
            </w:pPr>
            <w:r w:rsidRPr="005D641B">
              <w:rPr>
                <w:rFonts w:ascii="Arial" w:eastAsia="Calibri" w:hAnsi="Arial" w:cs="Arial"/>
                <w:b/>
                <w:bCs/>
                <w:color w:val="000000"/>
              </w:rPr>
              <w:t xml:space="preserve">Deliver year 1 of the Town Deal </w:t>
            </w:r>
          </w:p>
        </w:tc>
        <w:tc>
          <w:tcPr>
            <w:tcW w:w="7153" w:type="dxa"/>
            <w:tcMar>
              <w:top w:w="80" w:type="dxa"/>
              <w:left w:w="40" w:type="dxa"/>
              <w:bottom w:w="80" w:type="dxa"/>
              <w:right w:w="40" w:type="dxa"/>
            </w:tcMar>
            <w:vAlign w:val="center"/>
          </w:tcPr>
          <w:p w:rsidR="00E444CB" w:rsidRPr="00902C75" w:rsidP="00E444CB">
            <w:pPr>
              <w:spacing w:after="0" w:line="240" w:lineRule="auto"/>
              <w:rPr>
                <w:rFonts w:ascii="Arial" w:eastAsia="Times New Roman" w:hAnsi="Arial" w:cs="Arial"/>
                <w:szCs w:val="28"/>
              </w:rPr>
            </w:pPr>
            <w:r w:rsidRPr="00902C75">
              <w:rPr>
                <w:rFonts w:ascii="Arial" w:eastAsia="Times New Roman" w:hAnsi="Arial" w:cs="Arial"/>
                <w:szCs w:val="28"/>
              </w:rPr>
              <w:t xml:space="preserve">This project will continue into the 2022/23 programme of corporate strategy projects </w:t>
            </w:r>
          </w:p>
          <w:p w:rsidR="00E444CB" w:rsidRPr="00902C75" w:rsidP="00E444CB">
            <w:pPr>
              <w:spacing w:after="0" w:line="240" w:lineRule="auto"/>
              <w:rPr>
                <w:rFonts w:ascii="Arial" w:eastAsia="Times New Roman" w:hAnsi="Arial" w:cs="Arial"/>
                <w:szCs w:val="28"/>
              </w:rPr>
            </w:pPr>
          </w:p>
          <w:p w:rsidR="00E444CB" w:rsidRPr="00902C75" w:rsidP="00E444CB">
            <w:pPr>
              <w:spacing w:after="0" w:line="240" w:lineRule="auto"/>
              <w:rPr>
                <w:rFonts w:ascii="Arial" w:eastAsia="Times New Roman" w:hAnsi="Arial" w:cs="Arial"/>
                <w:szCs w:val="28"/>
              </w:rPr>
            </w:pPr>
            <w:r w:rsidRPr="00902C75">
              <w:rPr>
                <w:rFonts w:ascii="Arial" w:eastAsia="Times New Roman" w:hAnsi="Arial" w:cs="Arial"/>
                <w:szCs w:val="28"/>
              </w:rPr>
              <w:t>South Ribble is set to recei</w:t>
            </w:r>
            <w:r w:rsidRPr="00902C75">
              <w:rPr>
                <w:rFonts w:ascii="Arial" w:eastAsia="Times New Roman" w:hAnsi="Arial" w:cs="Arial"/>
                <w:szCs w:val="28"/>
              </w:rPr>
              <w:t>ve funding of up to £25 million for improvements to Leyland town centre as part of the Town Deal Fund. Consultants have been working with the Council to develop the detailed business cases for all three key delivery areas, which are the development of ‘Bas</w:t>
            </w:r>
            <w:r w:rsidRPr="00902C75">
              <w:rPr>
                <w:rFonts w:ascii="Arial" w:eastAsia="Times New Roman" w:hAnsi="Arial" w:cs="Arial"/>
                <w:szCs w:val="28"/>
              </w:rPr>
              <w:t>e 2 Business Hub’, town centre transformation and improvements to the market.</w:t>
            </w:r>
          </w:p>
        </w:tc>
      </w:tr>
      <w:tr w:rsidTr="00E444CB">
        <w:tblPrEx>
          <w:tblW w:w="11199" w:type="dxa"/>
          <w:tblInd w:w="-436" w:type="dxa"/>
          <w:tblCellMar>
            <w:left w:w="57" w:type="dxa"/>
            <w:right w:w="57" w:type="dxa"/>
          </w:tblCellMar>
          <w:tblLook w:val="0000"/>
        </w:tblPrEx>
        <w:trPr>
          <w:trHeight w:val="244"/>
        </w:trPr>
        <w:tc>
          <w:tcPr>
            <w:tcW w:w="4046" w:type="dxa"/>
            <w:tcMar>
              <w:top w:w="80" w:type="dxa"/>
              <w:left w:w="40" w:type="dxa"/>
              <w:bottom w:w="80" w:type="dxa"/>
              <w:right w:w="40" w:type="dxa"/>
            </w:tcMar>
          </w:tcPr>
          <w:p w:rsidR="00E444CB" w:rsidRPr="00B334FC" w:rsidP="00E444CB">
            <w:pPr>
              <w:spacing w:after="0" w:line="240" w:lineRule="auto"/>
              <w:rPr>
                <w:rFonts w:ascii="Arial" w:eastAsia="Arial" w:hAnsi="Arial" w:cs="Times New Roman"/>
                <w:color w:val="000000"/>
              </w:rPr>
            </w:pPr>
            <w:r w:rsidRPr="005D641B">
              <w:rPr>
                <w:rFonts w:ascii="Arial" w:hAnsi="Arial" w:cs="Arial"/>
                <w:b/>
                <w:bCs/>
                <w:color w:val="000000"/>
              </w:rPr>
              <w:t>Implement the community wealth building action plan</w:t>
            </w:r>
          </w:p>
        </w:tc>
        <w:tc>
          <w:tcPr>
            <w:tcW w:w="7153" w:type="dxa"/>
            <w:tcMar>
              <w:top w:w="80" w:type="dxa"/>
              <w:left w:w="40" w:type="dxa"/>
              <w:bottom w:w="80" w:type="dxa"/>
              <w:right w:w="40" w:type="dxa"/>
            </w:tcMar>
            <w:vAlign w:val="center"/>
          </w:tcPr>
          <w:p w:rsidR="00E444CB" w:rsidRPr="00902C75" w:rsidP="00E444CB">
            <w:pPr>
              <w:spacing w:after="0" w:line="240" w:lineRule="auto"/>
              <w:rPr>
                <w:rFonts w:ascii="Arial" w:eastAsia="Times New Roman" w:hAnsi="Arial" w:cs="Arial"/>
                <w:szCs w:val="28"/>
              </w:rPr>
            </w:pPr>
            <w:r w:rsidRPr="00902C75">
              <w:rPr>
                <w:rFonts w:ascii="Arial" w:eastAsia="Times New Roman" w:hAnsi="Arial" w:cs="Arial"/>
                <w:szCs w:val="28"/>
              </w:rPr>
              <w:t xml:space="preserve">This </w:t>
            </w:r>
            <w:r>
              <w:rPr>
                <w:rFonts w:ascii="Arial" w:eastAsia="Times New Roman" w:hAnsi="Arial" w:cs="Arial"/>
                <w:szCs w:val="28"/>
              </w:rPr>
              <w:t xml:space="preserve">phase of the </w:t>
            </w:r>
            <w:r w:rsidRPr="00902C75">
              <w:rPr>
                <w:rFonts w:ascii="Arial" w:eastAsia="Times New Roman" w:hAnsi="Arial" w:cs="Arial"/>
                <w:szCs w:val="28"/>
              </w:rPr>
              <w:t>project will be completed by March 2022.</w:t>
            </w:r>
          </w:p>
          <w:p w:rsidR="00E444CB" w:rsidRPr="00902C75" w:rsidP="00E444CB">
            <w:pPr>
              <w:spacing w:after="0" w:line="240" w:lineRule="auto"/>
              <w:rPr>
                <w:rFonts w:ascii="Arial" w:eastAsia="Times New Roman" w:hAnsi="Arial" w:cs="Arial"/>
                <w:szCs w:val="28"/>
              </w:rPr>
            </w:pPr>
          </w:p>
          <w:p w:rsidR="00E444CB" w:rsidRPr="00902C75" w:rsidP="00E444CB">
            <w:pPr>
              <w:spacing w:after="0" w:line="240" w:lineRule="auto"/>
              <w:rPr>
                <w:rFonts w:ascii="Arial" w:eastAsia="Times New Roman" w:hAnsi="Arial" w:cs="Arial"/>
                <w:szCs w:val="28"/>
              </w:rPr>
            </w:pPr>
            <w:r w:rsidRPr="00902C75">
              <w:rPr>
                <w:rFonts w:ascii="Arial" w:eastAsia="Times New Roman" w:hAnsi="Arial" w:cs="Arial"/>
                <w:szCs w:val="28"/>
              </w:rPr>
              <w:t>The Community Wealth Building programme has delivered several key achievements of its action plan. These achievements include the opening of a Credit Union branch (Unify) in Leyland with a three-year plan to develop its sustainability. The Council has also</w:t>
            </w:r>
            <w:r w:rsidRPr="00902C75">
              <w:rPr>
                <w:rFonts w:ascii="Arial" w:eastAsia="Times New Roman" w:hAnsi="Arial" w:cs="Arial"/>
                <w:szCs w:val="28"/>
              </w:rPr>
              <w:t xml:space="preserve"> formally achieved the living wage accreditation which recognises employers that chose to pay staff above the government national minimum wage. To help monitor the impact of social value, the Social Value Portal (SVP) has now been implemented to measure th</w:t>
            </w:r>
            <w:r w:rsidRPr="00902C75">
              <w:rPr>
                <w:rFonts w:ascii="Arial" w:eastAsia="Times New Roman" w:hAnsi="Arial" w:cs="Arial"/>
                <w:szCs w:val="28"/>
              </w:rPr>
              <w:t xml:space="preserve">e Councils procurement outcomes and the benefits to the community. </w:t>
            </w:r>
            <w:r>
              <w:rPr>
                <w:rFonts w:ascii="Arial" w:eastAsia="Times New Roman" w:hAnsi="Arial" w:cs="Arial"/>
                <w:szCs w:val="28"/>
              </w:rPr>
              <w:t>The programme will continue to be delivered through the service business plan, developing the next stage of the Community Wealth Building agenda.</w:t>
            </w:r>
          </w:p>
        </w:tc>
      </w:tr>
      <w:tr w:rsidTr="00E444CB">
        <w:tblPrEx>
          <w:tblW w:w="11199" w:type="dxa"/>
          <w:tblInd w:w="-436" w:type="dxa"/>
          <w:tblCellMar>
            <w:left w:w="57" w:type="dxa"/>
            <w:right w:w="57" w:type="dxa"/>
          </w:tblCellMar>
          <w:tblLook w:val="0000"/>
        </w:tblPrEx>
        <w:trPr>
          <w:trHeight w:val="244"/>
        </w:trPr>
        <w:tc>
          <w:tcPr>
            <w:tcW w:w="4046" w:type="dxa"/>
            <w:tcMar>
              <w:top w:w="80" w:type="dxa"/>
              <w:left w:w="40" w:type="dxa"/>
              <w:bottom w:w="80" w:type="dxa"/>
              <w:right w:w="40" w:type="dxa"/>
            </w:tcMar>
          </w:tcPr>
          <w:p w:rsidR="00E444CB" w:rsidRPr="00B334FC" w:rsidP="00E444CB">
            <w:pPr>
              <w:spacing w:after="0" w:line="240" w:lineRule="auto"/>
              <w:rPr>
                <w:rFonts w:ascii="Arial" w:eastAsia="Arial" w:hAnsi="Arial" w:cs="Times New Roman"/>
                <w:color w:val="000000"/>
              </w:rPr>
            </w:pPr>
            <w:r w:rsidRPr="005D641B">
              <w:rPr>
                <w:rFonts w:ascii="Arial" w:eastAsia="Calibri" w:hAnsi="Arial" w:cs="Arial"/>
                <w:b/>
                <w:bCs/>
                <w:color w:val="000000"/>
              </w:rPr>
              <w:t>Deliver a project to support the green age</w:t>
            </w:r>
            <w:r w:rsidRPr="005D641B">
              <w:rPr>
                <w:rFonts w:ascii="Arial" w:eastAsia="Calibri" w:hAnsi="Arial" w:cs="Arial"/>
                <w:b/>
                <w:bCs/>
                <w:color w:val="000000"/>
              </w:rPr>
              <w:t>nda</w:t>
            </w:r>
          </w:p>
        </w:tc>
        <w:tc>
          <w:tcPr>
            <w:tcW w:w="7153" w:type="dxa"/>
            <w:tcMar>
              <w:top w:w="80" w:type="dxa"/>
              <w:left w:w="40" w:type="dxa"/>
              <w:bottom w:w="80" w:type="dxa"/>
              <w:right w:w="40" w:type="dxa"/>
            </w:tcMar>
            <w:vAlign w:val="center"/>
          </w:tcPr>
          <w:p w:rsidR="00E444CB" w:rsidP="00E444CB">
            <w:pPr>
              <w:spacing w:after="0" w:line="240" w:lineRule="auto"/>
              <w:rPr>
                <w:rFonts w:ascii="Arial" w:eastAsia="Times New Roman" w:hAnsi="Arial" w:cs="Arial"/>
                <w:szCs w:val="28"/>
              </w:rPr>
            </w:pPr>
            <w:r w:rsidRPr="00902C75">
              <w:rPr>
                <w:rFonts w:ascii="Arial" w:eastAsia="Times New Roman" w:hAnsi="Arial" w:cs="Arial"/>
                <w:szCs w:val="28"/>
              </w:rPr>
              <w:t xml:space="preserve">This project will continue in to the 2022/23 programme of corporate strategy projects. </w:t>
            </w:r>
          </w:p>
          <w:p w:rsidR="00E444CB" w:rsidP="00E444CB">
            <w:pPr>
              <w:spacing w:after="0" w:line="240" w:lineRule="auto"/>
              <w:rPr>
                <w:rFonts w:ascii="Arial" w:eastAsia="Times New Roman" w:hAnsi="Arial" w:cs="Arial"/>
                <w:szCs w:val="28"/>
              </w:rPr>
            </w:pPr>
          </w:p>
          <w:p w:rsidR="00E444CB" w:rsidRPr="00902C75" w:rsidP="00E444CB">
            <w:pPr>
              <w:spacing w:after="0" w:line="240" w:lineRule="auto"/>
              <w:rPr>
                <w:rFonts w:ascii="Arial" w:eastAsia="Times New Roman" w:hAnsi="Arial" w:cs="Arial"/>
                <w:szCs w:val="28"/>
              </w:rPr>
            </w:pPr>
            <w:r>
              <w:rPr>
                <w:rFonts w:ascii="Arial" w:eastAsia="Times New Roman" w:hAnsi="Arial" w:cs="Arial"/>
                <w:szCs w:val="28"/>
              </w:rPr>
              <w:t>Within 2021/22 this project has delivered a number of work streams within its programme, which include the installation of four electric vehicle charging points, r</w:t>
            </w:r>
            <w:r>
              <w:rPr>
                <w:rFonts w:ascii="Arial" w:eastAsia="Times New Roman" w:hAnsi="Arial" w:cs="Arial"/>
                <w:szCs w:val="28"/>
              </w:rPr>
              <w:t xml:space="preserve">aising awareness to tackle climate change via an online event (World Environment Day) hosted by the Council. There has also been improvements to a series of outdoor paths and cycle networks within the borough, the installation of solar panels at the Civic </w:t>
            </w:r>
            <w:r>
              <w:rPr>
                <w:rFonts w:ascii="Arial" w:eastAsia="Times New Roman" w:hAnsi="Arial" w:cs="Arial"/>
                <w:szCs w:val="28"/>
              </w:rPr>
              <w:t>Centre and a cycle storage facility at Moss Side depot.</w:t>
            </w:r>
          </w:p>
        </w:tc>
      </w:tr>
      <w:tr w:rsidTr="00E444CB">
        <w:tblPrEx>
          <w:tblW w:w="11199" w:type="dxa"/>
          <w:tblInd w:w="-436" w:type="dxa"/>
          <w:tblCellMar>
            <w:left w:w="57" w:type="dxa"/>
            <w:right w:w="57" w:type="dxa"/>
          </w:tblCellMar>
          <w:tblLook w:val="0000"/>
        </w:tblPrEx>
        <w:trPr>
          <w:trHeight w:val="244"/>
        </w:trPr>
        <w:tc>
          <w:tcPr>
            <w:tcW w:w="4046" w:type="dxa"/>
            <w:tcMar>
              <w:top w:w="80" w:type="dxa"/>
              <w:left w:w="40" w:type="dxa"/>
              <w:bottom w:w="80" w:type="dxa"/>
              <w:right w:w="40" w:type="dxa"/>
            </w:tcMar>
          </w:tcPr>
          <w:p w:rsidR="00E444CB" w:rsidRPr="00B334FC" w:rsidP="00E444CB">
            <w:pPr>
              <w:spacing w:after="0" w:line="240" w:lineRule="auto"/>
              <w:rPr>
                <w:rFonts w:ascii="Arial" w:eastAsia="Arial" w:hAnsi="Arial" w:cs="Times New Roman"/>
                <w:color w:val="000000"/>
              </w:rPr>
            </w:pPr>
            <w:r w:rsidRPr="005D641B">
              <w:rPr>
                <w:rFonts w:ascii="Arial" w:eastAsia="Calibri" w:hAnsi="Arial" w:cs="Arial"/>
                <w:b/>
                <w:bCs/>
                <w:color w:val="000000"/>
              </w:rPr>
              <w:t>Bring Worden Hall back into use - phase 1</w:t>
            </w:r>
          </w:p>
        </w:tc>
        <w:tc>
          <w:tcPr>
            <w:tcW w:w="7153" w:type="dxa"/>
            <w:tcMar>
              <w:top w:w="80" w:type="dxa"/>
              <w:left w:w="40" w:type="dxa"/>
              <w:bottom w:w="80" w:type="dxa"/>
              <w:right w:w="40" w:type="dxa"/>
            </w:tcMar>
            <w:vAlign w:val="center"/>
          </w:tcPr>
          <w:p w:rsidR="00E444CB" w:rsidP="00E444CB">
            <w:pPr>
              <w:spacing w:after="0" w:line="240" w:lineRule="auto"/>
              <w:rPr>
                <w:rFonts w:ascii="Arial" w:eastAsia="Times New Roman" w:hAnsi="Arial" w:cs="Arial"/>
                <w:szCs w:val="28"/>
              </w:rPr>
            </w:pPr>
            <w:r w:rsidRPr="00902C75">
              <w:rPr>
                <w:rFonts w:ascii="Arial" w:eastAsia="Times New Roman" w:hAnsi="Arial" w:cs="Arial"/>
                <w:szCs w:val="28"/>
              </w:rPr>
              <w:t xml:space="preserve">This project will continue in to the 2022/23 programme of corporate strategy projects. </w:t>
            </w:r>
          </w:p>
          <w:p w:rsidR="00E444CB" w:rsidP="00E444CB">
            <w:pPr>
              <w:spacing w:after="0" w:line="240" w:lineRule="auto"/>
              <w:rPr>
                <w:rFonts w:ascii="Arial" w:eastAsia="Times New Roman" w:hAnsi="Arial" w:cs="Arial"/>
                <w:szCs w:val="28"/>
              </w:rPr>
            </w:pPr>
          </w:p>
          <w:p w:rsidR="00E444CB" w:rsidRPr="00902C75" w:rsidP="00E444CB">
            <w:pPr>
              <w:spacing w:after="0" w:line="240" w:lineRule="auto"/>
              <w:rPr>
                <w:rFonts w:ascii="Arial" w:eastAsia="Times New Roman" w:hAnsi="Arial" w:cs="Arial"/>
                <w:szCs w:val="28"/>
              </w:rPr>
            </w:pPr>
            <w:r>
              <w:rPr>
                <w:rFonts w:ascii="Arial" w:eastAsia="Times New Roman" w:hAnsi="Arial" w:cs="Arial"/>
                <w:szCs w:val="28"/>
              </w:rPr>
              <w:t>The development to bring Worden Hall back into use as a flexible com</w:t>
            </w:r>
            <w:r>
              <w:rPr>
                <w:rFonts w:ascii="Arial" w:eastAsia="Times New Roman" w:hAnsi="Arial" w:cs="Arial"/>
                <w:szCs w:val="28"/>
              </w:rPr>
              <w:t>munity and event space has progressed over the year with a contractor being appointed to deliver the scheme. The refurbishment work to the building started on-site in August 2021 and a public engagement drop-in event was held at the hall.  Completed refurb</w:t>
            </w:r>
            <w:r>
              <w:rPr>
                <w:rFonts w:ascii="Arial" w:eastAsia="Times New Roman" w:hAnsi="Arial" w:cs="Arial"/>
                <w:szCs w:val="28"/>
              </w:rPr>
              <w:t>ishment works to the building include demolishment of the outbuilding and old conservatory under the supervision of an archaeologist. The old basement has been filled to allow for the foundations for the new lift shaft and toilet block. Further work that h</w:t>
            </w:r>
            <w:r>
              <w:rPr>
                <w:rFonts w:ascii="Arial" w:eastAsia="Times New Roman" w:hAnsi="Arial" w:cs="Arial"/>
                <w:szCs w:val="28"/>
              </w:rPr>
              <w:t xml:space="preserve">as been completed include the replacement of the Marsden room roof and internal works to the café and other spaces. </w:t>
            </w:r>
          </w:p>
        </w:tc>
      </w:tr>
      <w:tr w:rsidTr="00E444CB">
        <w:tblPrEx>
          <w:tblW w:w="11199" w:type="dxa"/>
          <w:tblInd w:w="-436" w:type="dxa"/>
          <w:tblCellMar>
            <w:left w:w="57" w:type="dxa"/>
            <w:right w:w="57" w:type="dxa"/>
          </w:tblCellMar>
          <w:tblLook w:val="0000"/>
        </w:tblPrEx>
        <w:trPr>
          <w:trHeight w:val="1309"/>
        </w:trPr>
        <w:tc>
          <w:tcPr>
            <w:tcW w:w="4046" w:type="dxa"/>
            <w:tcMar>
              <w:top w:w="80" w:type="dxa"/>
              <w:left w:w="40" w:type="dxa"/>
              <w:bottom w:w="80" w:type="dxa"/>
              <w:right w:w="40" w:type="dxa"/>
            </w:tcMar>
          </w:tcPr>
          <w:p w:rsidR="00E444CB" w:rsidRPr="00C87FA3" w:rsidP="00E444CB">
            <w:pPr>
              <w:spacing w:after="0" w:line="240" w:lineRule="auto"/>
              <w:rPr>
                <w:rFonts w:ascii="Arial" w:eastAsia="Arial" w:hAnsi="Arial" w:cs="Times New Roman"/>
                <w:b/>
                <w:bCs/>
              </w:rPr>
            </w:pPr>
            <w:r w:rsidRPr="005D641B">
              <w:rPr>
                <w:rFonts w:ascii="Arial" w:hAnsi="Arial" w:cs="Arial"/>
                <w:b/>
                <w:bCs/>
              </w:rPr>
              <w:t>Commence building of affordable homes within the borough</w:t>
            </w:r>
          </w:p>
        </w:tc>
        <w:tc>
          <w:tcPr>
            <w:tcW w:w="7153" w:type="dxa"/>
            <w:tcMar>
              <w:top w:w="80" w:type="dxa"/>
              <w:left w:w="40" w:type="dxa"/>
              <w:bottom w:w="80" w:type="dxa"/>
              <w:right w:w="40" w:type="dxa"/>
            </w:tcMar>
            <w:vAlign w:val="center"/>
          </w:tcPr>
          <w:p w:rsidR="00E444CB" w:rsidP="00E444CB">
            <w:pPr>
              <w:spacing w:after="0" w:line="240" w:lineRule="auto"/>
              <w:rPr>
                <w:rFonts w:ascii="Arial" w:eastAsia="Times New Roman" w:hAnsi="Arial" w:cs="Arial"/>
                <w:szCs w:val="28"/>
              </w:rPr>
            </w:pPr>
            <w:r w:rsidRPr="00902C75">
              <w:rPr>
                <w:rFonts w:ascii="Arial" w:eastAsia="Times New Roman" w:hAnsi="Arial" w:cs="Arial"/>
                <w:szCs w:val="28"/>
              </w:rPr>
              <w:t xml:space="preserve">This project will continue in to the 2022/23 programme of corporate strategy projects. </w:t>
            </w:r>
          </w:p>
          <w:p w:rsidR="00E444CB" w:rsidP="00E444CB">
            <w:pPr>
              <w:spacing w:after="0" w:line="240" w:lineRule="auto"/>
              <w:rPr>
                <w:rFonts w:ascii="Arial" w:eastAsia="Times New Roman" w:hAnsi="Arial" w:cs="Arial"/>
                <w:szCs w:val="28"/>
              </w:rPr>
            </w:pPr>
          </w:p>
          <w:p w:rsidR="00E444CB" w:rsidRPr="00902C75" w:rsidP="00E444CB">
            <w:pPr>
              <w:spacing w:after="0" w:line="240" w:lineRule="auto"/>
              <w:rPr>
                <w:rFonts w:ascii="Arial" w:eastAsia="Times New Roman" w:hAnsi="Arial" w:cs="Arial"/>
                <w:szCs w:val="28"/>
              </w:rPr>
            </w:pPr>
            <w:r>
              <w:rPr>
                <w:rFonts w:ascii="Arial" w:eastAsia="Times New Roman" w:hAnsi="Arial" w:cs="Arial"/>
                <w:szCs w:val="28"/>
              </w:rPr>
              <w:t>Over 2021/22 affordable housing units have been delivered following the opening of Tom Hanson House and further progress has been made with the McKenzie Arms development and the Extra Care scheme.</w:t>
            </w:r>
          </w:p>
        </w:tc>
      </w:tr>
      <w:tr w:rsidTr="00E444CB">
        <w:tblPrEx>
          <w:tblW w:w="11199" w:type="dxa"/>
          <w:tblInd w:w="-436" w:type="dxa"/>
          <w:tblCellMar>
            <w:left w:w="57" w:type="dxa"/>
            <w:right w:w="57" w:type="dxa"/>
          </w:tblCellMar>
          <w:tblLook w:val="0000"/>
        </w:tblPrEx>
        <w:trPr>
          <w:trHeight w:val="898"/>
        </w:trPr>
        <w:tc>
          <w:tcPr>
            <w:tcW w:w="4046" w:type="dxa"/>
            <w:tcMar>
              <w:top w:w="80" w:type="dxa"/>
              <w:left w:w="40" w:type="dxa"/>
              <w:bottom w:w="80" w:type="dxa"/>
              <w:right w:w="40" w:type="dxa"/>
            </w:tcMar>
          </w:tcPr>
          <w:p w:rsidR="00E444CB" w:rsidRPr="005D641B" w:rsidP="00E444CB">
            <w:pPr>
              <w:spacing w:after="0" w:line="240" w:lineRule="auto"/>
              <w:rPr>
                <w:rFonts w:ascii="Arial" w:hAnsi="Arial" w:cs="Arial"/>
                <w:b/>
                <w:bCs/>
              </w:rPr>
            </w:pPr>
            <w:r w:rsidRPr="005D641B">
              <w:rPr>
                <w:rFonts w:ascii="Arial" w:hAnsi="Arial" w:cs="Arial"/>
                <w:b/>
                <w:bCs/>
              </w:rPr>
              <w:t>Deliver a leisure improvement project</w:t>
            </w:r>
          </w:p>
        </w:tc>
        <w:tc>
          <w:tcPr>
            <w:tcW w:w="7153" w:type="dxa"/>
            <w:tcMar>
              <w:top w:w="80" w:type="dxa"/>
              <w:left w:w="40" w:type="dxa"/>
              <w:bottom w:w="80" w:type="dxa"/>
              <w:right w:w="40" w:type="dxa"/>
            </w:tcMar>
            <w:vAlign w:val="center"/>
          </w:tcPr>
          <w:p w:rsidR="00E444CB" w:rsidP="00E444CB">
            <w:pPr>
              <w:spacing w:after="0" w:line="240" w:lineRule="auto"/>
              <w:rPr>
                <w:rFonts w:ascii="Arial" w:eastAsia="Times New Roman" w:hAnsi="Arial" w:cs="Arial"/>
                <w:szCs w:val="28"/>
              </w:rPr>
            </w:pPr>
            <w:r w:rsidRPr="00902C75">
              <w:rPr>
                <w:rFonts w:ascii="Arial" w:eastAsia="Times New Roman" w:hAnsi="Arial" w:cs="Arial"/>
                <w:szCs w:val="28"/>
              </w:rPr>
              <w:t>This project will co</w:t>
            </w:r>
            <w:r w:rsidRPr="00902C75">
              <w:rPr>
                <w:rFonts w:ascii="Arial" w:eastAsia="Times New Roman" w:hAnsi="Arial" w:cs="Arial"/>
                <w:szCs w:val="28"/>
              </w:rPr>
              <w:t xml:space="preserve">ntinue in to the 2022/23 programme of corporate strategy projects. </w:t>
            </w:r>
          </w:p>
          <w:p w:rsidR="00E444CB" w:rsidP="00E444CB">
            <w:pPr>
              <w:spacing w:after="0" w:line="240" w:lineRule="auto"/>
              <w:rPr>
                <w:rFonts w:ascii="Arial" w:eastAsia="Times New Roman" w:hAnsi="Arial" w:cs="Arial"/>
                <w:szCs w:val="28"/>
              </w:rPr>
            </w:pPr>
          </w:p>
          <w:p w:rsidR="00E444CB" w:rsidRPr="00902C75" w:rsidP="00E444CB">
            <w:pPr>
              <w:spacing w:after="0" w:line="240" w:lineRule="auto"/>
              <w:rPr>
                <w:rFonts w:ascii="Arial" w:eastAsia="Times New Roman" w:hAnsi="Arial" w:cs="Arial"/>
                <w:szCs w:val="28"/>
              </w:rPr>
            </w:pPr>
            <w:r>
              <w:rPr>
                <w:rFonts w:ascii="Arial" w:eastAsia="Times New Roman" w:hAnsi="Arial" w:cs="Arial"/>
                <w:szCs w:val="28"/>
              </w:rPr>
              <w:t>Over 2021/22 works to the leisure centres have included health and safety works, upgrades to the Tennis Centre car park, other general improvements such as painting and cladding. There ha</w:t>
            </w:r>
            <w:r>
              <w:rPr>
                <w:rFonts w:ascii="Arial" w:eastAsia="Times New Roman" w:hAnsi="Arial" w:cs="Arial"/>
                <w:szCs w:val="28"/>
              </w:rPr>
              <w:t xml:space="preserve">s been decarbonisation plans developed as part of the project to support the Council in significantly reducing its carbon footprint. </w:t>
            </w:r>
          </w:p>
        </w:tc>
      </w:tr>
    </w:tbl>
    <w:p w:rsidR="00E444CB" w:rsidRPr="00776FBD" w:rsidP="00E444CB">
      <w:pPr>
        <w:pStyle w:val="Heading2"/>
        <w:spacing w:before="0" w:beforeAutospacing="0"/>
        <w:rPr>
          <w:rFonts w:asciiTheme="majorHAnsi" w:hAnsiTheme="majorHAnsi" w:cstheme="majorHAnsi"/>
          <w:sz w:val="22"/>
          <w:szCs w:val="22"/>
        </w:rPr>
      </w:pPr>
    </w:p>
    <w:sectPr w:rsidSect="00E444CB">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44CB">
      <w:pPr>
        <w:spacing w:after="0" w:line="240" w:lineRule="auto"/>
      </w:pPr>
      <w:r>
        <w:separator/>
      </w:r>
    </w:p>
  </w:footnote>
  <w:footnote w:type="continuationSeparator" w:id="1">
    <w:p w:rsidR="00E444CB">
      <w:pPr>
        <w:spacing w:after="0" w:line="240" w:lineRule="auto"/>
      </w:pPr>
      <w:r>
        <w:continuationSeparator/>
      </w:r>
    </w:p>
  </w:footnote>
  <w:footnote w:id="2">
    <w:p w:rsidR="00E444CB" w:rsidP="00E444CB">
      <w:pPr>
        <w:pStyle w:val="FootnoteText"/>
      </w:pPr>
      <w:r>
        <w:rPr>
          <w:rStyle w:val="FootnoteReference"/>
        </w:rPr>
        <w:footnoteRef/>
      </w:r>
      <w:r>
        <w:t xml:space="preserve"> </w:t>
      </w:r>
      <w:r>
        <w:rPr>
          <w:lang w:val="en-US"/>
        </w:rPr>
        <w:t xml:space="preserve">There was no tree planting programmed for quarters one and two, the tree planting season </w:t>
      </w:r>
      <w:r>
        <w:rPr>
          <w:lang w:val="en-US"/>
        </w:rPr>
        <w:t>commences from quarter three.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82805"/>
    <w:multiLevelType w:val="hybridMultilevel"/>
    <w:tmpl w:val="F2600FF2"/>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8F5556"/>
    <w:multiLevelType w:val="hybridMultilevel"/>
    <w:tmpl w:val="0FFA698E"/>
    <w:lvl w:ilvl="0">
      <w:start w:val="1"/>
      <w:numFmt w:val="bullet"/>
      <w:lvlText w:val=""/>
      <w:lvlJc w:val="left"/>
      <w:pPr>
        <w:ind w:left="1440" w:hanging="360"/>
      </w:pPr>
      <w:rPr>
        <w:rFonts w:ascii="Wingdings 3" w:hAnsi="Wingdings 3"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7E91EDE"/>
    <w:multiLevelType w:val="hybridMultilevel"/>
    <w:tmpl w:val="DB92249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18AB7B19"/>
    <w:multiLevelType w:val="hybridMultilevel"/>
    <w:tmpl w:val="D3A6340C"/>
    <w:lvl w:ilvl="0">
      <w:start w:val="1"/>
      <w:numFmt w:val="bullet"/>
      <w:lvlText w:val=""/>
      <w:lvlJc w:val="left"/>
      <w:pPr>
        <w:ind w:left="360" w:hanging="360"/>
      </w:pPr>
      <w:rPr>
        <w:rFonts w:ascii="Symbol" w:hAnsi="Symbol" w:hint="default"/>
      </w:rPr>
    </w:lvl>
    <w:lvl w:ilvl="1" w:tentative="1">
      <w:start w:val="1"/>
      <w:numFmt w:val="bullet"/>
      <w:lvlText w:val="o"/>
      <w:lvlJc w:val="left"/>
      <w:pPr>
        <w:ind w:left="360" w:hanging="360"/>
      </w:pPr>
      <w:rPr>
        <w:rFonts w:ascii="Courier New" w:hAnsi="Courier New" w:cs="Courier New"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4">
    <w:nsid w:val="22DC145D"/>
    <w:multiLevelType w:val="hybridMultilevel"/>
    <w:tmpl w:val="EB72218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2D682B4B"/>
    <w:multiLevelType w:val="hybridMultilevel"/>
    <w:tmpl w:val="27D0AF2A"/>
    <w:lvl w:ilvl="0">
      <w:start w:val="1"/>
      <w:numFmt w:val="bullet"/>
      <w:lvlText w:val=""/>
      <w:lvlJc w:val="left"/>
      <w:pPr>
        <w:ind w:left="990" w:hanging="360"/>
      </w:pPr>
      <w:rPr>
        <w:rFonts w:ascii="Symbol" w:hAnsi="Symbol" w:hint="default"/>
      </w:rPr>
    </w:lvl>
    <w:lvl w:ilvl="1" w:tentative="1">
      <w:start w:val="1"/>
      <w:numFmt w:val="bullet"/>
      <w:lvlText w:val="o"/>
      <w:lvlJc w:val="left"/>
      <w:pPr>
        <w:ind w:left="1710" w:hanging="360"/>
      </w:pPr>
      <w:rPr>
        <w:rFonts w:ascii="Courier New" w:hAnsi="Courier New" w:cs="Courier New" w:hint="default"/>
      </w:rPr>
    </w:lvl>
    <w:lvl w:ilvl="2" w:tentative="1">
      <w:start w:val="1"/>
      <w:numFmt w:val="bullet"/>
      <w:lvlText w:val=""/>
      <w:lvlJc w:val="left"/>
      <w:pPr>
        <w:ind w:left="2430" w:hanging="360"/>
      </w:pPr>
      <w:rPr>
        <w:rFonts w:ascii="Wingdings" w:hAnsi="Wingdings" w:hint="default"/>
      </w:rPr>
    </w:lvl>
    <w:lvl w:ilvl="3" w:tentative="1">
      <w:start w:val="1"/>
      <w:numFmt w:val="bullet"/>
      <w:lvlText w:val=""/>
      <w:lvlJc w:val="left"/>
      <w:pPr>
        <w:ind w:left="3150" w:hanging="360"/>
      </w:pPr>
      <w:rPr>
        <w:rFonts w:ascii="Symbol" w:hAnsi="Symbol" w:hint="default"/>
      </w:rPr>
    </w:lvl>
    <w:lvl w:ilvl="4" w:tentative="1">
      <w:start w:val="1"/>
      <w:numFmt w:val="bullet"/>
      <w:lvlText w:val="o"/>
      <w:lvlJc w:val="left"/>
      <w:pPr>
        <w:ind w:left="3870" w:hanging="360"/>
      </w:pPr>
      <w:rPr>
        <w:rFonts w:ascii="Courier New" w:hAnsi="Courier New" w:cs="Courier New" w:hint="default"/>
      </w:rPr>
    </w:lvl>
    <w:lvl w:ilvl="5" w:tentative="1">
      <w:start w:val="1"/>
      <w:numFmt w:val="bullet"/>
      <w:lvlText w:val=""/>
      <w:lvlJc w:val="left"/>
      <w:pPr>
        <w:ind w:left="4590" w:hanging="360"/>
      </w:pPr>
      <w:rPr>
        <w:rFonts w:ascii="Wingdings" w:hAnsi="Wingdings" w:hint="default"/>
      </w:rPr>
    </w:lvl>
    <w:lvl w:ilvl="6" w:tentative="1">
      <w:start w:val="1"/>
      <w:numFmt w:val="bullet"/>
      <w:lvlText w:val=""/>
      <w:lvlJc w:val="left"/>
      <w:pPr>
        <w:ind w:left="5310" w:hanging="360"/>
      </w:pPr>
      <w:rPr>
        <w:rFonts w:ascii="Symbol" w:hAnsi="Symbol" w:hint="default"/>
      </w:rPr>
    </w:lvl>
    <w:lvl w:ilvl="7" w:tentative="1">
      <w:start w:val="1"/>
      <w:numFmt w:val="bullet"/>
      <w:lvlText w:val="o"/>
      <w:lvlJc w:val="left"/>
      <w:pPr>
        <w:ind w:left="6030" w:hanging="360"/>
      </w:pPr>
      <w:rPr>
        <w:rFonts w:ascii="Courier New" w:hAnsi="Courier New" w:cs="Courier New" w:hint="default"/>
      </w:rPr>
    </w:lvl>
    <w:lvl w:ilvl="8" w:tentative="1">
      <w:start w:val="1"/>
      <w:numFmt w:val="bullet"/>
      <w:lvlText w:val=""/>
      <w:lvlJc w:val="left"/>
      <w:pPr>
        <w:ind w:left="6750" w:hanging="360"/>
      </w:pPr>
      <w:rPr>
        <w:rFonts w:ascii="Wingdings" w:hAnsi="Wingdings" w:hint="default"/>
      </w:rPr>
    </w:lvl>
  </w:abstractNum>
  <w:abstractNum w:abstractNumId="6">
    <w:nsid w:val="36E35D47"/>
    <w:multiLevelType w:val="hybridMultilevel"/>
    <w:tmpl w:val="79DC8554"/>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7">
    <w:nsid w:val="36E9417E"/>
    <w:multiLevelType w:val="hybridMultilevel"/>
    <w:tmpl w:val="811C91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7493668"/>
    <w:multiLevelType w:val="hybridMultilevel"/>
    <w:tmpl w:val="2A2E8EEC"/>
    <w:lvl w:ilvl="0">
      <w:start w:val="13"/>
      <w:numFmt w:val="decimal"/>
      <w:lvlText w:val="%1."/>
      <w:lvlJc w:val="left"/>
      <w:pPr>
        <w:ind w:left="360" w:hanging="360"/>
      </w:pPr>
      <w:rPr>
        <w:rFonts w:cs="Times New Roman" w:hint="default"/>
        <w:color w:val="auto"/>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3B0324D4"/>
    <w:multiLevelType w:val="hybridMultilevel"/>
    <w:tmpl w:val="0CE2B5E6"/>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3C997D7D"/>
    <w:multiLevelType w:val="hybridMultilevel"/>
    <w:tmpl w:val="FCF4C3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D785F99"/>
    <w:multiLevelType w:val="hybridMultilevel"/>
    <w:tmpl w:val="7D40A3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F8D453E"/>
    <w:multiLevelType w:val="hybridMultilevel"/>
    <w:tmpl w:val="212CDBAC"/>
    <w:lvl w:ilvl="0">
      <w:start w:val="1"/>
      <w:numFmt w:val="bullet"/>
      <w:lvlText w:val=""/>
      <w:lvlJc w:val="left"/>
      <w:pPr>
        <w:ind w:left="1080" w:hanging="360"/>
      </w:pPr>
      <w:rPr>
        <w:rFonts w:ascii="Symbol" w:hAnsi="Symbol" w:hint="default"/>
        <w:color w:val="000000" w:themeColor="text1"/>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2707DD4"/>
    <w:multiLevelType w:val="hybridMultilevel"/>
    <w:tmpl w:val="E5AED366"/>
    <w:lvl w:ilvl="0">
      <w:start w:val="0"/>
      <w:numFmt w:val="bullet"/>
      <w:lvlText w:val="-"/>
      <w:lvlJc w:val="left"/>
      <w:pPr>
        <w:ind w:left="1080" w:hanging="360"/>
      </w:pPr>
      <w:rPr>
        <w:rFonts w:ascii="Arial" w:eastAsia="Times New Roman" w:hAnsi="Arial" w:cs="Arial" w:hint="default"/>
        <w:u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28357F5"/>
    <w:multiLevelType w:val="hybridMultilevel"/>
    <w:tmpl w:val="14741890"/>
    <w:lvl w:ilvl="0">
      <w:start w:val="1"/>
      <w:numFmt w:val="bullet"/>
      <w:lvlText w:val=""/>
      <w:lvlJc w:val="left"/>
      <w:pPr>
        <w:ind w:left="1222" w:hanging="360"/>
      </w:pPr>
      <w:rPr>
        <w:rFonts w:ascii="Symbol" w:hAnsi="Symbol" w:hint="default"/>
      </w:rPr>
    </w:lvl>
    <w:lvl w:ilvl="1" w:tentative="1">
      <w:start w:val="1"/>
      <w:numFmt w:val="bullet"/>
      <w:lvlText w:val="o"/>
      <w:lvlJc w:val="left"/>
      <w:pPr>
        <w:ind w:left="1942" w:hanging="360"/>
      </w:pPr>
      <w:rPr>
        <w:rFonts w:ascii="Courier New" w:hAnsi="Courier New" w:cs="Courier New" w:hint="default"/>
      </w:rPr>
    </w:lvl>
    <w:lvl w:ilvl="2" w:tentative="1">
      <w:start w:val="1"/>
      <w:numFmt w:val="bullet"/>
      <w:lvlText w:val=""/>
      <w:lvlJc w:val="left"/>
      <w:pPr>
        <w:ind w:left="2662" w:hanging="360"/>
      </w:pPr>
      <w:rPr>
        <w:rFonts w:ascii="Wingdings" w:hAnsi="Wingdings" w:hint="default"/>
      </w:rPr>
    </w:lvl>
    <w:lvl w:ilvl="3" w:tentative="1">
      <w:start w:val="1"/>
      <w:numFmt w:val="bullet"/>
      <w:lvlText w:val=""/>
      <w:lvlJc w:val="left"/>
      <w:pPr>
        <w:ind w:left="3382" w:hanging="360"/>
      </w:pPr>
      <w:rPr>
        <w:rFonts w:ascii="Symbol" w:hAnsi="Symbol" w:hint="default"/>
      </w:rPr>
    </w:lvl>
    <w:lvl w:ilvl="4" w:tentative="1">
      <w:start w:val="1"/>
      <w:numFmt w:val="bullet"/>
      <w:lvlText w:val="o"/>
      <w:lvlJc w:val="left"/>
      <w:pPr>
        <w:ind w:left="4102" w:hanging="360"/>
      </w:pPr>
      <w:rPr>
        <w:rFonts w:ascii="Courier New" w:hAnsi="Courier New" w:cs="Courier New" w:hint="default"/>
      </w:rPr>
    </w:lvl>
    <w:lvl w:ilvl="5" w:tentative="1">
      <w:start w:val="1"/>
      <w:numFmt w:val="bullet"/>
      <w:lvlText w:val=""/>
      <w:lvlJc w:val="left"/>
      <w:pPr>
        <w:ind w:left="4822" w:hanging="360"/>
      </w:pPr>
      <w:rPr>
        <w:rFonts w:ascii="Wingdings" w:hAnsi="Wingdings" w:hint="default"/>
      </w:rPr>
    </w:lvl>
    <w:lvl w:ilvl="6" w:tentative="1">
      <w:start w:val="1"/>
      <w:numFmt w:val="bullet"/>
      <w:lvlText w:val=""/>
      <w:lvlJc w:val="left"/>
      <w:pPr>
        <w:ind w:left="5542" w:hanging="360"/>
      </w:pPr>
      <w:rPr>
        <w:rFonts w:ascii="Symbol" w:hAnsi="Symbol" w:hint="default"/>
      </w:rPr>
    </w:lvl>
    <w:lvl w:ilvl="7" w:tentative="1">
      <w:start w:val="1"/>
      <w:numFmt w:val="bullet"/>
      <w:lvlText w:val="o"/>
      <w:lvlJc w:val="left"/>
      <w:pPr>
        <w:ind w:left="6262" w:hanging="360"/>
      </w:pPr>
      <w:rPr>
        <w:rFonts w:ascii="Courier New" w:hAnsi="Courier New" w:cs="Courier New" w:hint="default"/>
      </w:rPr>
    </w:lvl>
    <w:lvl w:ilvl="8" w:tentative="1">
      <w:start w:val="1"/>
      <w:numFmt w:val="bullet"/>
      <w:lvlText w:val=""/>
      <w:lvlJc w:val="left"/>
      <w:pPr>
        <w:ind w:left="6982" w:hanging="360"/>
      </w:pPr>
      <w:rPr>
        <w:rFonts w:ascii="Wingdings" w:hAnsi="Wingdings" w:hint="default"/>
      </w:rPr>
    </w:lvl>
  </w:abstractNum>
  <w:abstractNum w:abstractNumId="15">
    <w:nsid w:val="48A82520"/>
    <w:multiLevelType w:val="hybridMultilevel"/>
    <w:tmpl w:val="01880F44"/>
    <w:lvl w:ilvl="0">
      <w:start w:val="1"/>
      <w:numFmt w:val="bullet"/>
      <w:lvlText w:val=""/>
      <w:lvlJc w:val="left"/>
      <w:pPr>
        <w:ind w:left="1141" w:hanging="360"/>
      </w:pPr>
      <w:rPr>
        <w:rFonts w:ascii="Symbol" w:hAnsi="Symbol" w:hint="default"/>
      </w:rPr>
    </w:lvl>
    <w:lvl w:ilvl="1" w:tentative="1">
      <w:start w:val="1"/>
      <w:numFmt w:val="bullet"/>
      <w:lvlText w:val="o"/>
      <w:lvlJc w:val="left"/>
      <w:pPr>
        <w:ind w:left="1861" w:hanging="360"/>
      </w:pPr>
      <w:rPr>
        <w:rFonts w:ascii="Courier New" w:hAnsi="Courier New" w:cs="Courier New" w:hint="default"/>
      </w:rPr>
    </w:lvl>
    <w:lvl w:ilvl="2" w:tentative="1">
      <w:start w:val="1"/>
      <w:numFmt w:val="bullet"/>
      <w:lvlText w:val=""/>
      <w:lvlJc w:val="left"/>
      <w:pPr>
        <w:ind w:left="2581" w:hanging="360"/>
      </w:pPr>
      <w:rPr>
        <w:rFonts w:ascii="Wingdings" w:hAnsi="Wingdings" w:hint="default"/>
      </w:rPr>
    </w:lvl>
    <w:lvl w:ilvl="3" w:tentative="1">
      <w:start w:val="1"/>
      <w:numFmt w:val="bullet"/>
      <w:lvlText w:val=""/>
      <w:lvlJc w:val="left"/>
      <w:pPr>
        <w:ind w:left="3301" w:hanging="360"/>
      </w:pPr>
      <w:rPr>
        <w:rFonts w:ascii="Symbol" w:hAnsi="Symbol" w:hint="default"/>
      </w:rPr>
    </w:lvl>
    <w:lvl w:ilvl="4" w:tentative="1">
      <w:start w:val="1"/>
      <w:numFmt w:val="bullet"/>
      <w:lvlText w:val="o"/>
      <w:lvlJc w:val="left"/>
      <w:pPr>
        <w:ind w:left="4021" w:hanging="360"/>
      </w:pPr>
      <w:rPr>
        <w:rFonts w:ascii="Courier New" w:hAnsi="Courier New" w:cs="Courier New" w:hint="default"/>
      </w:rPr>
    </w:lvl>
    <w:lvl w:ilvl="5" w:tentative="1">
      <w:start w:val="1"/>
      <w:numFmt w:val="bullet"/>
      <w:lvlText w:val=""/>
      <w:lvlJc w:val="left"/>
      <w:pPr>
        <w:ind w:left="4741" w:hanging="360"/>
      </w:pPr>
      <w:rPr>
        <w:rFonts w:ascii="Wingdings" w:hAnsi="Wingdings" w:hint="default"/>
      </w:rPr>
    </w:lvl>
    <w:lvl w:ilvl="6" w:tentative="1">
      <w:start w:val="1"/>
      <w:numFmt w:val="bullet"/>
      <w:lvlText w:val=""/>
      <w:lvlJc w:val="left"/>
      <w:pPr>
        <w:ind w:left="5461" w:hanging="360"/>
      </w:pPr>
      <w:rPr>
        <w:rFonts w:ascii="Symbol" w:hAnsi="Symbol" w:hint="default"/>
      </w:rPr>
    </w:lvl>
    <w:lvl w:ilvl="7" w:tentative="1">
      <w:start w:val="1"/>
      <w:numFmt w:val="bullet"/>
      <w:lvlText w:val="o"/>
      <w:lvlJc w:val="left"/>
      <w:pPr>
        <w:ind w:left="6181" w:hanging="360"/>
      </w:pPr>
      <w:rPr>
        <w:rFonts w:ascii="Courier New" w:hAnsi="Courier New" w:cs="Courier New" w:hint="default"/>
      </w:rPr>
    </w:lvl>
    <w:lvl w:ilvl="8" w:tentative="1">
      <w:start w:val="1"/>
      <w:numFmt w:val="bullet"/>
      <w:lvlText w:val=""/>
      <w:lvlJc w:val="left"/>
      <w:pPr>
        <w:ind w:left="6901" w:hanging="360"/>
      </w:pPr>
      <w:rPr>
        <w:rFonts w:ascii="Wingdings" w:hAnsi="Wingdings" w:hint="default"/>
      </w:rPr>
    </w:lvl>
  </w:abstractNum>
  <w:abstractNum w:abstractNumId="16">
    <w:nsid w:val="53EC42E2"/>
    <w:multiLevelType w:val="hybridMultilevel"/>
    <w:tmpl w:val="37ECB20A"/>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6D14F8B"/>
    <w:multiLevelType w:val="hybridMultilevel"/>
    <w:tmpl w:val="BFF6FB72"/>
    <w:lvl w:ilvl="0">
      <w:start w:val="1"/>
      <w:numFmt w:val="bullet"/>
      <w:lvlText w:val=""/>
      <w:lvlJc w:val="left"/>
      <w:pPr>
        <w:ind w:left="1440" w:hanging="360"/>
      </w:pPr>
      <w:rPr>
        <w:rFonts w:ascii="Wingdings 3" w:hAnsi="Wingdings 3"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597811DD"/>
    <w:multiLevelType w:val="hybridMultilevel"/>
    <w:tmpl w:val="FA5C2D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C4D2CDE"/>
    <w:multiLevelType w:val="hybridMultilevel"/>
    <w:tmpl w:val="5B6827D0"/>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EBF00E5"/>
    <w:multiLevelType w:val="hybridMultilevel"/>
    <w:tmpl w:val="1B9468E8"/>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87524EC"/>
    <w:multiLevelType w:val="hybridMultilevel"/>
    <w:tmpl w:val="C83AE318"/>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E981066"/>
    <w:multiLevelType w:val="hybridMultilevel"/>
    <w:tmpl w:val="29A03522"/>
    <w:lvl w:ilvl="0">
      <w:start w:val="1"/>
      <w:numFmt w:val="bullet"/>
      <w:lvlText w:val=""/>
      <w:lvlJc w:val="left"/>
      <w:pPr>
        <w:ind w:left="720" w:hanging="360"/>
      </w:pPr>
      <w:rPr>
        <w:rFonts w:ascii="Symbol" w:hAnsi="Symbol" w:hint="default"/>
        <w:color w:val="7FC44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0C75857"/>
    <w:multiLevelType w:val="hybridMultilevel"/>
    <w:tmpl w:val="AD004CB2"/>
    <w:lvl w:ilvl="0">
      <w:start w:val="1"/>
      <w:numFmt w:val="decimal"/>
      <w:lvlText w:val="%1."/>
      <w:lvlJc w:val="left"/>
      <w:pPr>
        <w:ind w:left="720" w:hanging="360"/>
      </w:pPr>
      <w:rPr>
        <w:rFonts w:hint="default"/>
        <w:b/>
        <w:bCs/>
        <w:i w:val="0"/>
        <w:iCs/>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1CD0F35"/>
    <w:multiLevelType w:val="hybridMultilevel"/>
    <w:tmpl w:val="3092AD0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5">
    <w:nsid w:val="72416C54"/>
    <w:multiLevelType w:val="hybridMultilevel"/>
    <w:tmpl w:val="2098DD56"/>
    <w:lvl w:ilvl="0">
      <w:start w:val="1"/>
      <w:numFmt w:val="bullet"/>
      <w:lvlText w:val=""/>
      <w:lvlJc w:val="left"/>
      <w:pPr>
        <w:ind w:left="720" w:hanging="360"/>
      </w:pPr>
      <w:rPr>
        <w:rFonts w:ascii="Symbol" w:hAnsi="Symbol" w:hint="default"/>
        <w:color w:val="000000" w:themeColor="text1"/>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95874BE"/>
    <w:multiLevelType w:val="hybridMultilevel"/>
    <w:tmpl w:val="D636561A"/>
    <w:lvl w:ilvl="0">
      <w:start w:val="1"/>
      <w:numFmt w:val="decimal"/>
      <w:lvlText w:val="%1."/>
      <w:lvlJc w:val="left"/>
      <w:pPr>
        <w:ind w:left="360" w:hanging="360"/>
      </w:pPr>
      <w:rPr>
        <w:rFonts w:ascii="Arial" w:hAnsi="Arial" w:hint="default"/>
        <w:b w:val="0"/>
        <w:bCs w:val="0"/>
        <w:i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7C6872A1"/>
    <w:multiLevelType w:val="hybridMultilevel"/>
    <w:tmpl w:val="700E460A"/>
    <w:lvl w:ilvl="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FEF54B2"/>
    <w:multiLevelType w:val="hybridMultilevel"/>
    <w:tmpl w:val="75B62A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22"/>
  </w:num>
  <w:num w:numId="3">
    <w:abstractNumId w:val="19"/>
  </w:num>
  <w:num w:numId="4">
    <w:abstractNumId w:val="21"/>
  </w:num>
  <w:num w:numId="5">
    <w:abstractNumId w:val="16"/>
  </w:num>
  <w:num w:numId="6">
    <w:abstractNumId w:val="5"/>
  </w:num>
  <w:num w:numId="7">
    <w:abstractNumId w:val="9"/>
  </w:num>
  <w:num w:numId="8">
    <w:abstractNumId w:val="20"/>
  </w:num>
  <w:num w:numId="9">
    <w:abstractNumId w:val="28"/>
  </w:num>
  <w:num w:numId="10">
    <w:abstractNumId w:val="18"/>
  </w:num>
  <w:num w:numId="11">
    <w:abstractNumId w:val="15"/>
  </w:num>
  <w:num w:numId="12">
    <w:abstractNumId w:val="4"/>
  </w:num>
  <w:num w:numId="13">
    <w:abstractNumId w:val="23"/>
  </w:num>
  <w:num w:numId="14">
    <w:abstractNumId w:val="2"/>
  </w:num>
  <w:num w:numId="15">
    <w:abstractNumId w:val="17"/>
  </w:num>
  <w:num w:numId="16">
    <w:abstractNumId w:val="1"/>
  </w:num>
  <w:num w:numId="17">
    <w:abstractNumId w:val="6"/>
  </w:num>
  <w:num w:numId="18">
    <w:abstractNumId w:val="11"/>
  </w:num>
  <w:num w:numId="19">
    <w:abstractNumId w:val="8"/>
  </w:num>
  <w:num w:numId="20">
    <w:abstractNumId w:val="10"/>
  </w:num>
  <w:num w:numId="21">
    <w:abstractNumId w:val="10"/>
  </w:num>
  <w:num w:numId="22">
    <w:abstractNumId w:val="24"/>
  </w:num>
  <w:num w:numId="23">
    <w:abstractNumId w:val="26"/>
  </w:num>
  <w:num w:numId="24">
    <w:abstractNumId w:val="14"/>
  </w:num>
  <w:num w:numId="25">
    <w:abstractNumId w:val="3"/>
  </w:num>
  <w:num w:numId="26">
    <w:abstractNumId w:val="25"/>
  </w:num>
  <w:num w:numId="27">
    <w:abstractNumId w:val="0"/>
  </w:num>
  <w:num w:numId="28">
    <w:abstractNumId w:val="13"/>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semiHidden/>
    <w:unhideWhenUsed/>
    <w:rsid w:val="00460D79"/>
    <w:rPr>
      <w:sz w:val="16"/>
      <w:szCs w:val="16"/>
    </w:rPr>
  </w:style>
  <w:style w:type="paragraph" w:styleId="CommentText">
    <w:name w:val="annotation text"/>
    <w:basedOn w:val="Normal"/>
    <w:link w:val="CommentTextChar"/>
    <w:uiPriority w:val="99"/>
    <w:unhideWhenUsed/>
    <w:rsid w:val="00460D79"/>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60D79"/>
    <w:rPr>
      <w:rFonts w:ascii="Arial" w:eastAsia="Times New Roman" w:hAnsi="Arial" w:cs="Times New Roman"/>
      <w:sz w:val="20"/>
      <w:szCs w:val="20"/>
      <w:lang w:eastAsia="en-GB"/>
    </w:rPr>
  </w:style>
  <w:style w:type="paragraph" w:styleId="BodyText2">
    <w:name w:val="Body Text 2"/>
    <w:basedOn w:val="Normal"/>
    <w:link w:val="BodyText2Char"/>
    <w:uiPriority w:val="99"/>
    <w:semiHidden/>
    <w:unhideWhenUsed/>
    <w:rsid w:val="00EE3D37"/>
    <w:pPr>
      <w:spacing w:after="120" w:line="480" w:lineRule="auto"/>
    </w:pPr>
  </w:style>
  <w:style w:type="character" w:customStyle="1" w:styleId="BodyText2Char">
    <w:name w:val="Body Text 2 Char"/>
    <w:basedOn w:val="DefaultParagraphFont"/>
    <w:link w:val="BodyText2"/>
    <w:uiPriority w:val="99"/>
    <w:semiHidden/>
    <w:rsid w:val="00EE3D37"/>
  </w:style>
  <w:style w:type="character" w:styleId="Hyperlink">
    <w:name w:val="Hyperlink"/>
    <w:basedOn w:val="DefaultParagraphFont"/>
    <w:uiPriority w:val="99"/>
    <w:unhideWhenUsed/>
    <w:rsid w:val="00826EB3"/>
    <w:rPr>
      <w:color w:val="0000FF" w:themeColor="hyperlink"/>
      <w:u w:val="single"/>
    </w:rPr>
  </w:style>
  <w:style w:type="character" w:customStyle="1" w:styleId="UnresolvedMention1">
    <w:name w:val="Unresolved Mention1"/>
    <w:basedOn w:val="DefaultParagraphFont"/>
    <w:uiPriority w:val="99"/>
    <w:rsid w:val="00201F8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8734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87342"/>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135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A57"/>
    <w:rPr>
      <w:sz w:val="20"/>
      <w:szCs w:val="20"/>
    </w:rPr>
  </w:style>
  <w:style w:type="character" w:styleId="FootnoteReference">
    <w:name w:val="footnote reference"/>
    <w:basedOn w:val="DefaultParagraphFont"/>
    <w:uiPriority w:val="99"/>
    <w:semiHidden/>
    <w:unhideWhenUsed/>
    <w:rsid w:val="00135A57"/>
    <w:rPr>
      <w:vertAlign w:val="superscript"/>
    </w:rPr>
  </w:style>
  <w:style w:type="table" w:customStyle="1" w:styleId="TableGrid1">
    <w:name w:val="Table Grid1"/>
    <w:basedOn w:val="TableNormal"/>
    <w:next w:val="TableGrid"/>
    <w:uiPriority w:val="59"/>
    <w:rsid w:val="002A5DE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7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image" Target="media/image6.jpeg" /><Relationship Id="rId12" Type="http://schemas.openxmlformats.org/officeDocument/2006/relationships/image" Target="media/image7.png" /><Relationship Id="rId13" Type="http://schemas.openxmlformats.org/officeDocument/2006/relationships/image" Target="media/image8.jpeg" /><Relationship Id="rId14" Type="http://schemas.openxmlformats.org/officeDocument/2006/relationships/image" Target="media/image9.png" /><Relationship Id="rId15" Type="http://schemas.openxmlformats.org/officeDocument/2006/relationships/oleObject" Target="embeddings/oleObject1.bin"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522F60D-7AD9-47BC-9A71-15643EB2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6407</Words>
  <Characters>36521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12</cp:revision>
  <cp:lastPrinted>2014-03-21T13:56:00Z</cp:lastPrinted>
  <dcterms:created xsi:type="dcterms:W3CDTF">2022-03-03T14:04:00Z</dcterms:created>
  <dcterms:modified xsi:type="dcterms:W3CDTF">2022-03-11T11:30:00Z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Corporate Strategy Quarterly Monitoring Report - Quarter 3 2021/22</vt:lpwstr>
  </property>
  <property fmtid="{D5CDD505-2E9C-101B-9397-08002B2CF9AE}" pid="4" name="LeadDirector">
    <vt:lpwstr>Deputy Chief Executive</vt:lpwstr>
  </property>
  <property fmtid="{D5CDD505-2E9C-101B-9397-08002B2CF9AE}" pid="5" name="LeadMember">
    <vt:lpwstr>Leader of the Council and Cabinet Member (Strategy and Reform)</vt:lpwstr>
  </property>
  <property fmtid="{D5CDD505-2E9C-101B-9397-08002B2CF9AE}" pid="6" name="LeadOfficer">
    <vt:lpwstr>Howard Anthony, Michael Johnson</vt:lpwstr>
  </property>
  <property fmtid="{D5CDD505-2E9C-101B-9397-08002B2CF9AE}" pid="7" name="LeadOfficerEmail">
    <vt:lpwstr>howard.anthony@southribble.gov.uk, mjohnson@southribble.gov.uk</vt:lpwstr>
  </property>
  <property fmtid="{D5CDD505-2E9C-101B-9397-08002B2CF9AE}" pid="8" name="LeadOfficerPost">
    <vt:lpwstr>South Ribble Partnership Manager, Graduate Performance &amp; Projects Officer</vt:lpwstr>
  </property>
  <property fmtid="{D5CDD505-2E9C-101B-9397-08002B2CF9AE}" pid="9" name="MeetingDate">
    <vt:lpwstr>Monday, 21 March 2022</vt:lpwstr>
  </property>
  <property fmtid="{D5CDD505-2E9C-101B-9397-08002B2CF9AE}" pid="10" name="MeetingDateLegal">
    <vt:lpwstr>MeetingDateLegal</vt:lpwstr>
  </property>
</Properties>
</file>